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79DDCBD9" w:rsidR="00AD706B" w:rsidRDefault="00AD706B" w:rsidP="00AD706B">
      <w:pPr>
        <w:pStyle w:val="Heading1"/>
      </w:pPr>
      <w:r>
        <w:t>IT-</w:t>
      </w:r>
      <w:r w:rsidR="00A21F4D">
        <w:t>8.6</w:t>
      </w:r>
      <w:r>
        <w:t xml:space="preserve">:  </w:t>
      </w:r>
      <w:r w:rsidR="00A21F4D" w:rsidRPr="00A21F4D">
        <w:t>Cesarean Rate for Nulliparous Singleton Vertex</w:t>
      </w:r>
    </w:p>
    <w:tbl>
      <w:tblPr>
        <w:tblStyle w:val="TableGrid"/>
        <w:tblW w:w="0" w:type="auto"/>
        <w:tblLook w:val="04A0" w:firstRow="1" w:lastRow="0" w:firstColumn="1" w:lastColumn="0" w:noHBand="0" w:noVBand="1"/>
      </w:tblPr>
      <w:tblGrid>
        <w:gridCol w:w="2538"/>
        <w:gridCol w:w="2970"/>
        <w:gridCol w:w="2070"/>
        <w:gridCol w:w="199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gridSpan w:val="3"/>
            <w:shd w:val="clear" w:color="auto" w:fill="F2F2F2" w:themeFill="background1" w:themeFillShade="F2"/>
          </w:tcPr>
          <w:p w14:paraId="780D73B4" w14:textId="0803F464" w:rsidR="00AD706B" w:rsidRPr="008779F5" w:rsidRDefault="001F49EC" w:rsidP="00B05CBF">
            <w:pPr>
              <w:pStyle w:val="NoSpacing"/>
              <w:rPr>
                <w:b/>
              </w:rPr>
            </w:pPr>
            <w:r w:rsidRPr="001F49EC">
              <w:rPr>
                <w:b/>
              </w:rPr>
              <w:t>PC-02 Cesarean Section</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gridSpan w:val="3"/>
          </w:tcPr>
          <w:p w14:paraId="780D73B7" w14:textId="3AA37663" w:rsidR="00AD706B" w:rsidRDefault="00A21F4D" w:rsidP="00A21F4D">
            <w:pPr>
              <w:pStyle w:val="NoSpacing"/>
            </w:pPr>
            <w:r>
              <w:t>This measure assesses the number of nulliparous women with a term, singleton baby in a vertex position delivered by cesarean section. This measure is part of a set of five nationally implemented measures that address perinatal care (PC-01: Elective Delivery, PC-03: Antenatal Steroids, PC-04: Health Care-Associated Bloodstream Infections in Newborns, PC-05: Exclusive Breast Milk Feeding).</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gridSpan w:val="3"/>
          </w:tcPr>
          <w:p w14:paraId="780D73BA" w14:textId="269EC8F3" w:rsidR="00AD706B" w:rsidRDefault="00A21F4D" w:rsidP="00B05CBF">
            <w:pPr>
              <w:pStyle w:val="NoSpacing"/>
            </w:pPr>
            <w:r>
              <w:t>0471</w:t>
            </w:r>
          </w:p>
        </w:tc>
      </w:tr>
      <w:tr w:rsidR="00AD706B" w14:paraId="780D73BE" w14:textId="77777777" w:rsidTr="0071629B">
        <w:tc>
          <w:tcPr>
            <w:tcW w:w="2538" w:type="dxa"/>
          </w:tcPr>
          <w:p w14:paraId="780D73BC" w14:textId="77777777" w:rsidR="00AD706B" w:rsidRPr="00717546" w:rsidRDefault="00AD706B" w:rsidP="00A374B8">
            <w:pPr>
              <w:pStyle w:val="NoSpacing"/>
              <w:rPr>
                <w:b/>
              </w:rPr>
            </w:pPr>
            <w:r>
              <w:rPr>
                <w:b/>
              </w:rPr>
              <w:t>Measure Steward</w:t>
            </w:r>
          </w:p>
        </w:tc>
        <w:tc>
          <w:tcPr>
            <w:tcW w:w="7038" w:type="dxa"/>
            <w:gridSpan w:val="3"/>
          </w:tcPr>
          <w:p w14:paraId="780D73BD" w14:textId="63855D8C" w:rsidR="00AD706B" w:rsidRPr="00631E85" w:rsidRDefault="00A21F4D" w:rsidP="00A21F4D">
            <w:pPr>
              <w:pStyle w:val="NoSpacing"/>
            </w:pPr>
            <w:r w:rsidRPr="00A21F4D">
              <w:t>The Joint Commission</w:t>
            </w:r>
          </w:p>
        </w:tc>
      </w:tr>
      <w:tr w:rsidR="00AD706B" w14:paraId="780D73C1" w14:textId="77777777" w:rsidTr="0071629B">
        <w:tc>
          <w:tcPr>
            <w:tcW w:w="2538" w:type="dxa"/>
          </w:tcPr>
          <w:p w14:paraId="780D73BF" w14:textId="77777777" w:rsidR="00AD706B" w:rsidRDefault="00AD706B" w:rsidP="00A374B8">
            <w:pPr>
              <w:pStyle w:val="NoSpacing"/>
              <w:rPr>
                <w:b/>
              </w:rPr>
            </w:pPr>
            <w:r>
              <w:rPr>
                <w:b/>
              </w:rPr>
              <w:t>Link to measure citation</w:t>
            </w:r>
          </w:p>
        </w:tc>
        <w:tc>
          <w:tcPr>
            <w:tcW w:w="7038" w:type="dxa"/>
            <w:gridSpan w:val="3"/>
          </w:tcPr>
          <w:p w14:paraId="780D73C0" w14:textId="5FCDEEE9" w:rsidR="00AD706B" w:rsidRPr="00631E85" w:rsidRDefault="00C01A50" w:rsidP="00A21F4D">
            <w:pPr>
              <w:pStyle w:val="NoSpacing"/>
            </w:pPr>
            <w:hyperlink r:id="rId12" w:history="1">
              <w:r w:rsidR="00A21F4D" w:rsidRPr="00380B18">
                <w:rPr>
                  <w:rStyle w:val="Hyperlink"/>
                </w:rPr>
                <w:t>https://www.qualityforum.org/QPS/0471</w:t>
              </w:r>
            </w:hyperlink>
            <w:r w:rsidR="00B05CBF">
              <w:t xml:space="preserve"> </w:t>
            </w:r>
          </w:p>
        </w:tc>
      </w:tr>
      <w:tr w:rsidR="00AD706B" w14:paraId="780D73C4" w14:textId="77777777" w:rsidTr="0071629B">
        <w:tc>
          <w:tcPr>
            <w:tcW w:w="2538" w:type="dxa"/>
          </w:tcPr>
          <w:p w14:paraId="780D73C2" w14:textId="77777777" w:rsidR="00AD706B" w:rsidRDefault="00AD706B" w:rsidP="00A374B8">
            <w:pPr>
              <w:pStyle w:val="NoSpacing"/>
              <w:rPr>
                <w:b/>
              </w:rPr>
            </w:pPr>
            <w:r>
              <w:rPr>
                <w:b/>
              </w:rPr>
              <w:t>Measure type</w:t>
            </w:r>
          </w:p>
        </w:tc>
        <w:tc>
          <w:tcPr>
            <w:tcW w:w="7038" w:type="dxa"/>
            <w:gridSpan w:val="3"/>
          </w:tcPr>
          <w:p w14:paraId="780D73C3" w14:textId="0DB6B3D9" w:rsidR="00AD706B" w:rsidRDefault="00165D76" w:rsidP="00A21F4D">
            <w:pPr>
              <w:pStyle w:val="NoSpacing"/>
            </w:pPr>
            <w:r>
              <w:t>Non Stand-A</w:t>
            </w:r>
            <w:r w:rsidR="00AD706B">
              <w:t>lone</w:t>
            </w:r>
            <w:r>
              <w:t xml:space="preserve"> (NSA)</w:t>
            </w:r>
          </w:p>
        </w:tc>
      </w:tr>
      <w:tr w:rsidR="00AD706B" w14:paraId="780D73C7" w14:textId="77777777" w:rsidTr="0071629B">
        <w:tc>
          <w:tcPr>
            <w:tcW w:w="2538" w:type="dxa"/>
          </w:tcPr>
          <w:p w14:paraId="780D73C5" w14:textId="77777777" w:rsidR="00AD706B" w:rsidRDefault="00AD706B" w:rsidP="00A374B8">
            <w:pPr>
              <w:pStyle w:val="NoSpacing"/>
              <w:rPr>
                <w:b/>
              </w:rPr>
            </w:pPr>
            <w:r>
              <w:rPr>
                <w:b/>
              </w:rPr>
              <w:t>Measure status</w:t>
            </w:r>
          </w:p>
        </w:tc>
        <w:tc>
          <w:tcPr>
            <w:tcW w:w="7038" w:type="dxa"/>
            <w:gridSpan w:val="3"/>
          </w:tcPr>
          <w:p w14:paraId="780D73C6" w14:textId="7449C066" w:rsidR="00AD706B" w:rsidRDefault="00A21F4D" w:rsidP="00A21F4D">
            <w:pPr>
              <w:pStyle w:val="NoSpacing"/>
            </w:pPr>
            <w:r>
              <w:t>P4P</w:t>
            </w:r>
            <w:r w:rsidR="00967948">
              <w:t xml:space="preserve"> </w:t>
            </w:r>
          </w:p>
        </w:tc>
      </w:tr>
      <w:tr w:rsidR="00AD706B" w14:paraId="780D73D0" w14:textId="77777777" w:rsidTr="0071629B">
        <w:tc>
          <w:tcPr>
            <w:tcW w:w="2538" w:type="dxa"/>
          </w:tcPr>
          <w:p w14:paraId="780D73C8" w14:textId="77777777" w:rsidR="00AD706B" w:rsidRPr="00717546" w:rsidRDefault="00AD706B" w:rsidP="00A374B8">
            <w:pPr>
              <w:pStyle w:val="NoSpacing"/>
              <w:rPr>
                <w:b/>
              </w:rPr>
            </w:pPr>
            <w:r>
              <w:rPr>
                <w:b/>
              </w:rPr>
              <w:t>DSRIP-specific modifications to Measure Steward’s specification</w:t>
            </w:r>
          </w:p>
        </w:tc>
        <w:tc>
          <w:tcPr>
            <w:tcW w:w="7038" w:type="dxa"/>
            <w:gridSpan w:val="3"/>
          </w:tcPr>
          <w:p w14:paraId="780D73CB" w14:textId="76182D70" w:rsidR="009F78A7" w:rsidRPr="00A21F4D" w:rsidRDefault="009F78A7" w:rsidP="009F78A7">
            <w:pPr>
              <w:pStyle w:val="NoSpacing"/>
              <w:rPr>
                <w:b/>
              </w:rPr>
            </w:pPr>
            <w:r w:rsidRPr="00787D45">
              <w:t>The</w:t>
            </w:r>
            <w:r>
              <w:t xml:space="preserve"> Measure Steward’s specification has been modified as follows:</w:t>
            </w:r>
          </w:p>
          <w:p w14:paraId="78056ADD" w14:textId="77777777" w:rsidR="009F78A7" w:rsidRDefault="00A21F4D" w:rsidP="00A21F4D">
            <w:pPr>
              <w:pStyle w:val="NoSpacing"/>
              <w:numPr>
                <w:ilvl w:val="0"/>
                <w:numId w:val="9"/>
              </w:numPr>
            </w:pPr>
            <w:r>
              <w:t>R</w:t>
            </w:r>
            <w:r w:rsidRPr="00A21F4D">
              <w:t>evised the numerator to match NQF measure specification</w:t>
            </w:r>
          </w:p>
          <w:p w14:paraId="780D73CF" w14:textId="76728733" w:rsidR="001F49EC" w:rsidRDefault="001F49EC" w:rsidP="00A21F4D">
            <w:pPr>
              <w:pStyle w:val="NoSpacing"/>
              <w:numPr>
                <w:ilvl w:val="0"/>
                <w:numId w:val="9"/>
              </w:numPr>
            </w:pPr>
            <w:r>
              <w:t>Removed reference to table not included in the document</w:t>
            </w:r>
          </w:p>
        </w:tc>
      </w:tr>
      <w:tr w:rsidR="00AD706B" w14:paraId="780D73D3" w14:textId="77777777" w:rsidTr="0071629B">
        <w:tc>
          <w:tcPr>
            <w:tcW w:w="2538" w:type="dxa"/>
          </w:tcPr>
          <w:p w14:paraId="780D73D1"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038" w:type="dxa"/>
            <w:gridSpan w:val="3"/>
          </w:tcPr>
          <w:p w14:paraId="780D73D2" w14:textId="7CC7A519" w:rsidR="00AD706B" w:rsidRPr="009F7E66" w:rsidRDefault="00A21F4D" w:rsidP="001D6BEA">
            <w:pPr>
              <w:pStyle w:val="NoSpacing"/>
            </w:pPr>
            <w:r>
              <w:t>Nulliparous patients delivered of a live term singleton newborn in vertex presentation</w:t>
            </w:r>
          </w:p>
        </w:tc>
      </w:tr>
      <w:tr w:rsidR="00787D45" w14:paraId="780D73D6" w14:textId="77777777" w:rsidTr="0071629B">
        <w:trPr>
          <w:trHeight w:val="728"/>
        </w:trPr>
        <w:tc>
          <w:tcPr>
            <w:tcW w:w="2538" w:type="dxa"/>
          </w:tcPr>
          <w:p w14:paraId="780D73D4" w14:textId="77777777" w:rsidR="00787D45" w:rsidRPr="00717546" w:rsidRDefault="00787D45" w:rsidP="00C01E6F">
            <w:pPr>
              <w:pStyle w:val="NoSpacing"/>
              <w:rPr>
                <w:b/>
              </w:rPr>
            </w:pPr>
            <w:r>
              <w:rPr>
                <w:b/>
              </w:rPr>
              <w:t>Denominator Inclusions</w:t>
            </w:r>
          </w:p>
        </w:tc>
        <w:tc>
          <w:tcPr>
            <w:tcW w:w="7038" w:type="dxa"/>
            <w:gridSpan w:val="3"/>
          </w:tcPr>
          <w:p w14:paraId="780D73D5" w14:textId="7D61CBA2" w:rsidR="00787D45" w:rsidRPr="0012650D" w:rsidRDefault="00787D45" w:rsidP="00A21F4D">
            <w:pPr>
              <w:pStyle w:val="NoSpacing"/>
              <w:rPr>
                <w:b/>
              </w:rPr>
            </w:pPr>
            <w:r>
              <w:t>The Measure Steward does not identify specific denominator inclusions beyond what is described i</w:t>
            </w:r>
            <w:r w:rsidR="00A21F4D">
              <w:t>n the denominator description.</w:t>
            </w:r>
          </w:p>
        </w:tc>
      </w:tr>
      <w:tr w:rsidR="00787D45" w14:paraId="780D73D9" w14:textId="77777777" w:rsidTr="0071629B">
        <w:trPr>
          <w:trHeight w:val="710"/>
        </w:trPr>
        <w:tc>
          <w:tcPr>
            <w:tcW w:w="2538" w:type="dxa"/>
          </w:tcPr>
          <w:p w14:paraId="780D73D7" w14:textId="77777777" w:rsidR="00787D45" w:rsidRPr="00717546" w:rsidRDefault="00787D45" w:rsidP="00C01E6F">
            <w:pPr>
              <w:pStyle w:val="NoSpacing"/>
              <w:rPr>
                <w:b/>
              </w:rPr>
            </w:pPr>
            <w:r>
              <w:rPr>
                <w:b/>
              </w:rPr>
              <w:t>Denominator Exclusions</w:t>
            </w:r>
          </w:p>
        </w:tc>
        <w:tc>
          <w:tcPr>
            <w:tcW w:w="7038" w:type="dxa"/>
            <w:gridSpan w:val="3"/>
          </w:tcPr>
          <w:p w14:paraId="780D73D8" w14:textId="1367BFFA" w:rsidR="00787D45" w:rsidRPr="001D6BEA" w:rsidRDefault="00A21F4D" w:rsidP="001F49EC">
            <w:pPr>
              <w:pStyle w:val="NoSpacing"/>
            </w:pPr>
            <w:r>
              <w:t xml:space="preserve">• ICD-9-CM Principal Diagnosis Code or ICD-9-CM Other Diagnosis Codes for contraindications to vaginal delivery </w:t>
            </w:r>
            <w:r>
              <w:br/>
              <w:t xml:space="preserve">• Less than 8 years of age </w:t>
            </w:r>
            <w:r>
              <w:br/>
              <w:t xml:space="preserve">• Greater than or equal to 65 years of age </w:t>
            </w:r>
            <w:r>
              <w:br/>
              <w:t xml:space="preserve">• Length of Stay &gt;120 days </w:t>
            </w:r>
            <w:r>
              <w:br/>
              <w:t>• Enrolled in clinical trials</w:t>
            </w:r>
            <w:r>
              <w:br/>
              <w:t>• Gestational Age &lt; 37 weeks</w:t>
            </w:r>
          </w:p>
        </w:tc>
      </w:tr>
      <w:tr w:rsidR="00D63CD3" w14:paraId="780D73DF" w14:textId="77777777" w:rsidTr="0071629B">
        <w:tc>
          <w:tcPr>
            <w:tcW w:w="2538" w:type="dxa"/>
          </w:tcPr>
          <w:p w14:paraId="780D73DA" w14:textId="77777777" w:rsidR="00D63CD3" w:rsidRDefault="00D63CD3" w:rsidP="00AF103E">
            <w:pPr>
              <w:pStyle w:val="NoSpacing"/>
              <w:rPr>
                <w:b/>
              </w:rPr>
            </w:pPr>
            <w:r>
              <w:rPr>
                <w:b/>
              </w:rPr>
              <w:t>Denominator Size</w:t>
            </w:r>
          </w:p>
        </w:tc>
        <w:tc>
          <w:tcPr>
            <w:tcW w:w="7038" w:type="dxa"/>
            <w:gridSpan w:val="3"/>
          </w:tcPr>
          <w:p w14:paraId="780D73DB"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780D73DC"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780D73DD"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780D73DE"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780D73E2" w14:textId="77777777" w:rsidTr="0071629B">
        <w:tc>
          <w:tcPr>
            <w:tcW w:w="2538" w:type="dxa"/>
          </w:tcPr>
          <w:p w14:paraId="780D73E0" w14:textId="77777777" w:rsidR="00AC3A97" w:rsidRPr="00717546" w:rsidRDefault="00AC3A97" w:rsidP="00AF103E">
            <w:pPr>
              <w:pStyle w:val="NoSpacing"/>
              <w:rPr>
                <w:b/>
              </w:rPr>
            </w:pPr>
            <w:r>
              <w:rPr>
                <w:b/>
              </w:rPr>
              <w:lastRenderedPageBreak/>
              <w:t xml:space="preserve">Numerator Description </w:t>
            </w:r>
          </w:p>
        </w:tc>
        <w:tc>
          <w:tcPr>
            <w:tcW w:w="7038" w:type="dxa"/>
            <w:gridSpan w:val="3"/>
          </w:tcPr>
          <w:p w14:paraId="780D73E1" w14:textId="26C5880F" w:rsidR="00A21F4D" w:rsidRPr="009F7E66" w:rsidRDefault="00A21F4D" w:rsidP="00A21F4D">
            <w:pPr>
              <w:pStyle w:val="NoSpacing"/>
            </w:pPr>
            <w:r>
              <w:t xml:space="preserve">Patients with cesarean sections with ICD-9-CM Principal Procedure Code or ICD-9-CM Other Procedure Codes for cesarean section as defined in Appendix A, Table 11.06 available at: </w:t>
            </w:r>
            <w:hyperlink r:id="rId13" w:history="1">
              <w:r w:rsidRPr="00380B18">
                <w:rPr>
                  <w:rStyle w:val="Hyperlink"/>
                </w:rPr>
                <w:t>http://manual.jointcommission.org</w:t>
              </w:r>
            </w:hyperlink>
          </w:p>
        </w:tc>
      </w:tr>
      <w:tr w:rsidR="00A21F4D" w14:paraId="780D73E5" w14:textId="77777777" w:rsidTr="0071629B">
        <w:tc>
          <w:tcPr>
            <w:tcW w:w="2538" w:type="dxa"/>
          </w:tcPr>
          <w:p w14:paraId="780D73E3" w14:textId="77777777" w:rsidR="00A21F4D" w:rsidRPr="00717546" w:rsidRDefault="00A21F4D" w:rsidP="00AF103E">
            <w:pPr>
              <w:pStyle w:val="NoSpacing"/>
              <w:rPr>
                <w:b/>
              </w:rPr>
            </w:pPr>
            <w:r>
              <w:rPr>
                <w:b/>
              </w:rPr>
              <w:t>Numerator Inclusions</w:t>
            </w:r>
          </w:p>
        </w:tc>
        <w:tc>
          <w:tcPr>
            <w:tcW w:w="7038" w:type="dxa"/>
            <w:gridSpan w:val="3"/>
          </w:tcPr>
          <w:p w14:paraId="780D73E4" w14:textId="08C735EE" w:rsidR="00A21F4D" w:rsidRPr="0012650D" w:rsidRDefault="00A21F4D" w:rsidP="002F15E3">
            <w:pPr>
              <w:pStyle w:val="NoSpacing"/>
              <w:rPr>
                <w:b/>
              </w:rPr>
            </w:pPr>
            <w:r w:rsidRPr="00723ECC">
              <w:t>The Measure Steward does not identify specific denominator inclusions beyond what is described in the denominator description.</w:t>
            </w:r>
          </w:p>
        </w:tc>
      </w:tr>
      <w:tr w:rsidR="00A21F4D" w14:paraId="780D73E8" w14:textId="77777777" w:rsidTr="0071629B">
        <w:tc>
          <w:tcPr>
            <w:tcW w:w="2538" w:type="dxa"/>
          </w:tcPr>
          <w:p w14:paraId="780D73E6" w14:textId="77777777" w:rsidR="00A21F4D" w:rsidRPr="00717546" w:rsidRDefault="00A21F4D" w:rsidP="00AF103E">
            <w:pPr>
              <w:pStyle w:val="NoSpacing"/>
              <w:rPr>
                <w:b/>
              </w:rPr>
            </w:pPr>
            <w:r>
              <w:rPr>
                <w:b/>
              </w:rPr>
              <w:t>Numerator Exclusions</w:t>
            </w:r>
          </w:p>
        </w:tc>
        <w:tc>
          <w:tcPr>
            <w:tcW w:w="7038" w:type="dxa"/>
            <w:gridSpan w:val="3"/>
          </w:tcPr>
          <w:p w14:paraId="780D73E7" w14:textId="2D7B9372" w:rsidR="00A21F4D" w:rsidRPr="001D6BEA" w:rsidRDefault="00A21F4D" w:rsidP="002F15E3">
            <w:pPr>
              <w:pStyle w:val="NoSpacing"/>
            </w:pPr>
            <w:r w:rsidRPr="00723ECC">
              <w:t>The Measure Steward does not identify specific denominator inclusions beyond what is described in the denominator description.</w:t>
            </w:r>
          </w:p>
        </w:tc>
      </w:tr>
      <w:tr w:rsidR="00AD706B" w14:paraId="780D73EB" w14:textId="77777777" w:rsidTr="0071629B">
        <w:tc>
          <w:tcPr>
            <w:tcW w:w="2538" w:type="dxa"/>
          </w:tcPr>
          <w:p w14:paraId="780D73E9" w14:textId="77777777" w:rsidR="00AD706B" w:rsidRPr="00717546" w:rsidRDefault="00AD706B" w:rsidP="00A374B8">
            <w:pPr>
              <w:pStyle w:val="NoSpacing"/>
              <w:rPr>
                <w:b/>
              </w:rPr>
            </w:pPr>
            <w:r>
              <w:rPr>
                <w:b/>
              </w:rPr>
              <w:t>Setting</w:t>
            </w:r>
          </w:p>
        </w:tc>
        <w:tc>
          <w:tcPr>
            <w:tcW w:w="7038" w:type="dxa"/>
            <w:gridSpan w:val="3"/>
          </w:tcPr>
          <w:p w14:paraId="780D73EA" w14:textId="29A92185" w:rsidR="00AD706B" w:rsidRDefault="00A21F4D" w:rsidP="00A21F4D">
            <w:pPr>
              <w:pStyle w:val="NoSpacing"/>
            </w:pPr>
            <w:r>
              <w:t>Inpatient</w:t>
            </w:r>
          </w:p>
        </w:tc>
      </w:tr>
      <w:tr w:rsidR="00AD706B" w14:paraId="780D73EE" w14:textId="77777777" w:rsidTr="0071629B">
        <w:tc>
          <w:tcPr>
            <w:tcW w:w="2538" w:type="dxa"/>
          </w:tcPr>
          <w:p w14:paraId="780D73EC" w14:textId="77777777" w:rsidR="00AD706B" w:rsidRDefault="00AD706B" w:rsidP="00A374B8">
            <w:pPr>
              <w:pStyle w:val="NoSpacing"/>
              <w:rPr>
                <w:b/>
              </w:rPr>
            </w:pPr>
            <w:r>
              <w:rPr>
                <w:b/>
              </w:rPr>
              <w:t>Data Source</w:t>
            </w:r>
          </w:p>
        </w:tc>
        <w:tc>
          <w:tcPr>
            <w:tcW w:w="7038" w:type="dxa"/>
            <w:gridSpan w:val="3"/>
          </w:tcPr>
          <w:p w14:paraId="780D73ED" w14:textId="242B720B" w:rsidR="00AD706B" w:rsidRDefault="00AF3A3D" w:rsidP="00AF3A3D">
            <w:pPr>
              <w:pStyle w:val="NoSpacing"/>
            </w:pPr>
            <w:r>
              <w:t>Administ</w:t>
            </w:r>
            <w:r w:rsidR="00A21F4D">
              <w:t>rative/Clinical data sources</w:t>
            </w:r>
          </w:p>
        </w:tc>
      </w:tr>
      <w:tr w:rsidR="00AD706B" w14:paraId="780D740D" w14:textId="77777777" w:rsidTr="0071629B">
        <w:tc>
          <w:tcPr>
            <w:tcW w:w="2538" w:type="dxa"/>
          </w:tcPr>
          <w:p w14:paraId="780D73EF"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038" w:type="dxa"/>
            <w:gridSpan w:val="3"/>
          </w:tcPr>
          <w:p w14:paraId="780D73F0"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780D73F1" w14:textId="77777777" w:rsidR="00561D6D" w:rsidRDefault="00561D6D" w:rsidP="00A374B8">
            <w:pPr>
              <w:pStyle w:val="NoSpacing"/>
            </w:pPr>
          </w:p>
          <w:p w14:paraId="780D73F2"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780D73F3" w14:textId="77777777" w:rsidR="007F7C07" w:rsidRDefault="00416E44" w:rsidP="007F7C07">
            <w:pPr>
              <w:pStyle w:val="NoSpacing"/>
              <w:numPr>
                <w:ilvl w:val="0"/>
                <w:numId w:val="5"/>
              </w:numPr>
            </w:pPr>
            <w:r>
              <w:t>Medicaid</w:t>
            </w:r>
          </w:p>
          <w:p w14:paraId="780D73F4" w14:textId="77777777" w:rsidR="007F7C07" w:rsidRDefault="007F7C07" w:rsidP="007F7C07">
            <w:pPr>
              <w:pStyle w:val="NoSpacing"/>
              <w:numPr>
                <w:ilvl w:val="0"/>
                <w:numId w:val="5"/>
              </w:numPr>
            </w:pPr>
            <w:r>
              <w:t>Uninsured</w:t>
            </w:r>
            <w:r w:rsidR="00366D0B">
              <w:t>/Indigent</w:t>
            </w:r>
          </w:p>
          <w:p w14:paraId="780D73F5" w14:textId="77777777" w:rsidR="00366D0B" w:rsidRDefault="00366D0B" w:rsidP="007F7C07">
            <w:pPr>
              <w:pStyle w:val="NoSpacing"/>
              <w:numPr>
                <w:ilvl w:val="0"/>
                <w:numId w:val="5"/>
              </w:numPr>
            </w:pPr>
            <w:r>
              <w:t>Both: Medicaid and Uninsured/Indigent</w:t>
            </w:r>
          </w:p>
          <w:p w14:paraId="780D73F6" w14:textId="77777777" w:rsidR="000E7EED" w:rsidRDefault="000E7EED" w:rsidP="00A374B8">
            <w:pPr>
              <w:pStyle w:val="NoSpacing"/>
            </w:pPr>
          </w:p>
          <w:p w14:paraId="780D73F7"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780D73F8" w14:textId="77777777" w:rsidR="007F7C07" w:rsidRDefault="007F7C07" w:rsidP="007F7C07">
            <w:pPr>
              <w:pStyle w:val="NoSpacing"/>
              <w:numPr>
                <w:ilvl w:val="0"/>
                <w:numId w:val="6"/>
              </w:numPr>
            </w:pPr>
            <w:r>
              <w:t>Male</w:t>
            </w:r>
          </w:p>
          <w:p w14:paraId="780D73F9" w14:textId="77777777" w:rsidR="007F7C07" w:rsidRDefault="007F7C07" w:rsidP="007F7C07">
            <w:pPr>
              <w:pStyle w:val="NoSpacing"/>
              <w:numPr>
                <w:ilvl w:val="0"/>
                <w:numId w:val="6"/>
              </w:numPr>
            </w:pPr>
            <w:r>
              <w:t>Female</w:t>
            </w:r>
          </w:p>
          <w:p w14:paraId="780D73FA" w14:textId="77777777" w:rsidR="007F7C07" w:rsidRDefault="007F7C07" w:rsidP="00CA4C08">
            <w:pPr>
              <w:pStyle w:val="NoSpacing"/>
            </w:pPr>
          </w:p>
          <w:p w14:paraId="780D73FB"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780D73FC" w14:textId="77777777" w:rsidR="007F7C07" w:rsidRDefault="007F7C07" w:rsidP="007F7C07">
            <w:pPr>
              <w:pStyle w:val="NoSpacing"/>
              <w:numPr>
                <w:ilvl w:val="0"/>
                <w:numId w:val="7"/>
              </w:numPr>
            </w:pPr>
            <w:r>
              <w:t>White/Caucasian</w:t>
            </w:r>
          </w:p>
          <w:p w14:paraId="780D73FD" w14:textId="77777777" w:rsidR="007F7C07" w:rsidRDefault="007F7C07" w:rsidP="007F7C07">
            <w:pPr>
              <w:pStyle w:val="NoSpacing"/>
              <w:numPr>
                <w:ilvl w:val="0"/>
                <w:numId w:val="7"/>
              </w:numPr>
            </w:pPr>
            <w:r>
              <w:t>Black/African American</w:t>
            </w:r>
          </w:p>
          <w:p w14:paraId="780D73FE" w14:textId="77777777" w:rsidR="007F7C07" w:rsidRDefault="007F7C07" w:rsidP="007F7C07">
            <w:pPr>
              <w:pStyle w:val="NoSpacing"/>
              <w:numPr>
                <w:ilvl w:val="0"/>
                <w:numId w:val="7"/>
              </w:numPr>
            </w:pPr>
            <w:r>
              <w:t>Latino/Hispanic</w:t>
            </w:r>
          </w:p>
          <w:p w14:paraId="780D73FF" w14:textId="77777777" w:rsidR="007F7C07" w:rsidRDefault="007F7C07" w:rsidP="007F7C07">
            <w:pPr>
              <w:pStyle w:val="NoSpacing"/>
              <w:numPr>
                <w:ilvl w:val="0"/>
                <w:numId w:val="7"/>
              </w:numPr>
            </w:pPr>
            <w:r>
              <w:t>Asian</w:t>
            </w:r>
          </w:p>
          <w:p w14:paraId="780D7400" w14:textId="77777777" w:rsidR="007F7C07" w:rsidRDefault="007F7C07" w:rsidP="007F7C07">
            <w:pPr>
              <w:pStyle w:val="NoSpacing"/>
              <w:numPr>
                <w:ilvl w:val="0"/>
                <w:numId w:val="7"/>
              </w:numPr>
            </w:pPr>
            <w:r>
              <w:t>American Indian/Alaskan Native</w:t>
            </w:r>
          </w:p>
          <w:p w14:paraId="780D7401" w14:textId="77777777" w:rsidR="007F7C07" w:rsidRDefault="007F7C07" w:rsidP="007F7C07">
            <w:pPr>
              <w:pStyle w:val="NoSpacing"/>
              <w:numPr>
                <w:ilvl w:val="0"/>
                <w:numId w:val="7"/>
              </w:numPr>
            </w:pPr>
            <w:r>
              <w:t>Native Hawaiian/Other Pacific Islander</w:t>
            </w:r>
          </w:p>
          <w:p w14:paraId="780D7402" w14:textId="77777777" w:rsidR="007F7C07" w:rsidRDefault="007F7C07" w:rsidP="00CA4C08">
            <w:pPr>
              <w:pStyle w:val="NoSpacing"/>
            </w:pPr>
          </w:p>
          <w:p w14:paraId="780D7403" w14:textId="77777777" w:rsidR="007F7C07" w:rsidRDefault="007F7C07" w:rsidP="00CA4C08">
            <w:pPr>
              <w:pStyle w:val="NoSpacing"/>
            </w:pPr>
            <w:r w:rsidRPr="007F7C07">
              <w:rPr>
                <w:b/>
              </w:rPr>
              <w:t>Age:</w:t>
            </w:r>
            <w:r>
              <w:t xml:space="preserve"> Providers may define the denominator population such that it is limited to an age range:</w:t>
            </w:r>
          </w:p>
          <w:p w14:paraId="780D7404" w14:textId="77777777" w:rsidR="007F7C07" w:rsidRDefault="007F7C07" w:rsidP="007F7C07">
            <w:pPr>
              <w:pStyle w:val="NoSpacing"/>
              <w:ind w:left="720"/>
            </w:pPr>
            <w:r>
              <w:t>Lower Bound: ____ (Provider defined)</w:t>
            </w:r>
          </w:p>
          <w:p w14:paraId="780D7405" w14:textId="77777777" w:rsidR="007F7C07" w:rsidRDefault="007F7C07" w:rsidP="007F7C07">
            <w:pPr>
              <w:pStyle w:val="NoSpacing"/>
              <w:ind w:left="720"/>
            </w:pPr>
            <w:r>
              <w:t>Upper Bound: ____ (Provider defined)</w:t>
            </w:r>
          </w:p>
          <w:p w14:paraId="780D7406" w14:textId="77777777" w:rsidR="00CA4C08" w:rsidRDefault="00CA4C08" w:rsidP="00CA4C08">
            <w:pPr>
              <w:pStyle w:val="NoSpacing"/>
            </w:pPr>
          </w:p>
          <w:p w14:paraId="780D7407" w14:textId="7CB3119A" w:rsidR="007F7C07" w:rsidRDefault="007F7C07" w:rsidP="007F7C07">
            <w:pPr>
              <w:pStyle w:val="NoSpacing"/>
            </w:pPr>
            <w:r>
              <w:rPr>
                <w:b/>
              </w:rPr>
              <w:t>Comorbid Condition</w:t>
            </w:r>
            <w:r w:rsidRPr="007F7C07">
              <w:rPr>
                <w:b/>
              </w:rPr>
              <w:t>:</w:t>
            </w:r>
            <w:r>
              <w:t xml:space="preserve"> Providers may define the denominator population such that it is limited to individuals with </w:t>
            </w:r>
            <w:r w:rsidR="00874FAA">
              <w:t>one or more</w:t>
            </w:r>
            <w:r>
              <w:t xml:space="preserve"> comorbid </w:t>
            </w:r>
            <w:r w:rsidR="000A2D99">
              <w:t>conditions</w:t>
            </w:r>
            <w:r>
              <w:t>:</w:t>
            </w:r>
          </w:p>
          <w:p w14:paraId="780D7408" w14:textId="77777777" w:rsidR="007F7C07" w:rsidRDefault="007F7C07" w:rsidP="00A82574">
            <w:pPr>
              <w:pStyle w:val="NoSpacing"/>
              <w:ind w:left="720"/>
            </w:pPr>
            <w:r>
              <w:t>Comorbid condition: ______________ (Provider defined)</w:t>
            </w:r>
          </w:p>
          <w:p w14:paraId="780D7409" w14:textId="77777777" w:rsidR="007F7C07" w:rsidRDefault="007F7C07" w:rsidP="00CA4C08">
            <w:pPr>
              <w:pStyle w:val="NoSpacing"/>
            </w:pPr>
          </w:p>
          <w:p w14:paraId="780D740A"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780D740B" w14:textId="77777777" w:rsidR="007F7C07" w:rsidRDefault="007F7C07" w:rsidP="00A82574">
            <w:pPr>
              <w:pStyle w:val="NoSpacing"/>
              <w:ind w:left="720"/>
            </w:pPr>
            <w:r>
              <w:lastRenderedPageBreak/>
              <w:t xml:space="preserve">Service Setting/Delivery Location(s): ______________ (Provider defined) </w:t>
            </w:r>
          </w:p>
          <w:p w14:paraId="780D740C" w14:textId="77777777" w:rsidR="00F927B0" w:rsidRDefault="00CA4C08" w:rsidP="007F7C07">
            <w:pPr>
              <w:pStyle w:val="NoSpacing"/>
            </w:pPr>
            <w:r>
              <w:t> </w:t>
            </w:r>
          </w:p>
        </w:tc>
      </w:tr>
      <w:tr w:rsidR="00AD706B" w14:paraId="780D7415" w14:textId="77777777" w:rsidTr="0071629B">
        <w:tc>
          <w:tcPr>
            <w:tcW w:w="2538" w:type="dxa"/>
          </w:tcPr>
          <w:p w14:paraId="780D740E" w14:textId="77777777" w:rsidR="00AD706B" w:rsidRDefault="00AD706B" w:rsidP="00A374B8">
            <w:pPr>
              <w:pStyle w:val="NoSpacing"/>
              <w:rPr>
                <w:b/>
              </w:rPr>
            </w:pPr>
            <w:r>
              <w:rPr>
                <w:b/>
              </w:rPr>
              <w:lastRenderedPageBreak/>
              <w:t>Demonstration Years</w:t>
            </w:r>
          </w:p>
        </w:tc>
        <w:tc>
          <w:tcPr>
            <w:tcW w:w="2970" w:type="dxa"/>
            <w:shd w:val="clear" w:color="auto" w:fill="D9D9D9" w:themeFill="background1" w:themeFillShade="D9"/>
          </w:tcPr>
          <w:p w14:paraId="780D740F" w14:textId="77777777" w:rsidR="00AD706B" w:rsidRPr="0031250D" w:rsidRDefault="00AD706B" w:rsidP="00A374B8">
            <w:pPr>
              <w:pStyle w:val="NoSpacing"/>
              <w:jc w:val="center"/>
              <w:rPr>
                <w:b/>
              </w:rPr>
            </w:pPr>
            <w:r w:rsidRPr="0031250D">
              <w:rPr>
                <w:b/>
              </w:rPr>
              <w:t>DY3</w:t>
            </w:r>
          </w:p>
          <w:p w14:paraId="780D7410"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070" w:type="dxa"/>
            <w:shd w:val="clear" w:color="auto" w:fill="D9D9D9" w:themeFill="background1" w:themeFillShade="D9"/>
          </w:tcPr>
          <w:p w14:paraId="780D7411" w14:textId="77777777" w:rsidR="00AD706B" w:rsidRPr="0031250D" w:rsidRDefault="00AD706B" w:rsidP="00A374B8">
            <w:pPr>
              <w:pStyle w:val="NoSpacing"/>
              <w:jc w:val="center"/>
              <w:rPr>
                <w:b/>
              </w:rPr>
            </w:pPr>
            <w:r w:rsidRPr="0031250D">
              <w:rPr>
                <w:b/>
              </w:rPr>
              <w:t>DY4</w:t>
            </w:r>
          </w:p>
          <w:p w14:paraId="780D7412"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1998" w:type="dxa"/>
            <w:shd w:val="clear" w:color="auto" w:fill="D9D9D9" w:themeFill="background1" w:themeFillShade="D9"/>
          </w:tcPr>
          <w:p w14:paraId="780D7413" w14:textId="77777777" w:rsidR="00AD706B" w:rsidRPr="0031250D" w:rsidRDefault="00AD706B" w:rsidP="00A374B8">
            <w:pPr>
              <w:pStyle w:val="NoSpacing"/>
              <w:jc w:val="center"/>
              <w:rPr>
                <w:b/>
              </w:rPr>
            </w:pPr>
            <w:r w:rsidRPr="0031250D">
              <w:rPr>
                <w:b/>
              </w:rPr>
              <w:t>DY5</w:t>
            </w:r>
          </w:p>
          <w:p w14:paraId="780D7414"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780D742C" w14:textId="77777777" w:rsidTr="009A7508">
        <w:tc>
          <w:tcPr>
            <w:tcW w:w="2538" w:type="dxa"/>
          </w:tcPr>
          <w:p w14:paraId="780D7416" w14:textId="77777777" w:rsidR="00AD706B" w:rsidRDefault="00AD706B" w:rsidP="00A374B8">
            <w:pPr>
              <w:pStyle w:val="NoSpacing"/>
              <w:rPr>
                <w:b/>
              </w:rPr>
            </w:pPr>
            <w:r>
              <w:rPr>
                <w:b/>
              </w:rPr>
              <w:t>Measurement Periods</w:t>
            </w:r>
          </w:p>
          <w:p w14:paraId="780D7417" w14:textId="77777777" w:rsidR="007C728B" w:rsidRDefault="007C728B" w:rsidP="00A374B8">
            <w:pPr>
              <w:pStyle w:val="NoSpacing"/>
              <w:rPr>
                <w:b/>
              </w:rPr>
            </w:pPr>
          </w:p>
          <w:p w14:paraId="780D7418"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970" w:type="dxa"/>
            <w:shd w:val="clear" w:color="auto" w:fill="auto"/>
          </w:tcPr>
          <w:p w14:paraId="780D7419" w14:textId="77777777" w:rsidR="004E7F26" w:rsidRDefault="004E7F26" w:rsidP="004E7F26">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780D741A" w14:textId="77777777" w:rsidR="004E7F26" w:rsidRDefault="004E7F26" w:rsidP="004E7F26">
            <w:pPr>
              <w:pStyle w:val="NoSpacing"/>
            </w:pPr>
            <w:r>
              <w:rPr>
                <w:u w:val="single"/>
              </w:rPr>
              <w:t>12 Month Period</w:t>
            </w:r>
            <w:r>
              <w:t xml:space="preserve">: </w:t>
            </w:r>
          </w:p>
          <w:p w14:paraId="780D741B" w14:textId="77777777" w:rsidR="004E7F26" w:rsidRDefault="004E7F26" w:rsidP="004E7F26">
            <w:pPr>
              <w:pStyle w:val="NoSpacing"/>
              <w:numPr>
                <w:ilvl w:val="0"/>
                <w:numId w:val="10"/>
              </w:numPr>
              <w:ind w:left="504"/>
            </w:pPr>
            <w:r>
              <w:t xml:space="preserve">10/01/13 – 09/30/14, or </w:t>
            </w:r>
          </w:p>
          <w:p w14:paraId="780D741C" w14:textId="77777777" w:rsidR="004E7F26" w:rsidRDefault="004E7F26" w:rsidP="004E7F26">
            <w:pPr>
              <w:pStyle w:val="NoSpacing"/>
              <w:numPr>
                <w:ilvl w:val="0"/>
                <w:numId w:val="10"/>
              </w:numPr>
              <w:ind w:left="504"/>
            </w:pPr>
            <w:r>
              <w:t>09/01/13 – 08/31/14, or</w:t>
            </w:r>
          </w:p>
          <w:p w14:paraId="780D741D" w14:textId="77777777" w:rsidR="004E7F26" w:rsidRDefault="004E7F26" w:rsidP="004E7F26">
            <w:pPr>
              <w:pStyle w:val="NoSpacing"/>
              <w:numPr>
                <w:ilvl w:val="0"/>
                <w:numId w:val="10"/>
              </w:numPr>
              <w:ind w:left="504"/>
            </w:pPr>
            <w:r>
              <w:t>01/01/13 – 12/31/13, or</w:t>
            </w:r>
          </w:p>
          <w:p w14:paraId="780D741E" w14:textId="77777777" w:rsidR="004E7F26" w:rsidRDefault="004E7F26" w:rsidP="004E7F26">
            <w:pPr>
              <w:pStyle w:val="NoSpacing"/>
              <w:numPr>
                <w:ilvl w:val="0"/>
                <w:numId w:val="10"/>
              </w:numPr>
              <w:ind w:left="504"/>
            </w:pPr>
            <w:r>
              <w:t>10/01/12 – 09/30/13, or</w:t>
            </w:r>
          </w:p>
          <w:p w14:paraId="780D741F" w14:textId="77777777" w:rsidR="004E7F26" w:rsidRDefault="004E7F26" w:rsidP="004E7F26">
            <w:pPr>
              <w:pStyle w:val="NoSpacing"/>
              <w:numPr>
                <w:ilvl w:val="0"/>
                <w:numId w:val="10"/>
              </w:numPr>
              <w:ind w:left="504"/>
            </w:pPr>
            <w:r>
              <w:t>09/01/12 – 08/31/13</w:t>
            </w:r>
          </w:p>
          <w:p w14:paraId="780D7420" w14:textId="77777777" w:rsidR="004E7F26" w:rsidRDefault="004E7F26" w:rsidP="004E7F26">
            <w:pPr>
              <w:pStyle w:val="NoSpacing"/>
            </w:pPr>
            <w:r>
              <w:rPr>
                <w:u w:val="single"/>
              </w:rPr>
              <w:t>6 Month Period</w:t>
            </w:r>
            <w:r>
              <w:t xml:space="preserve">: </w:t>
            </w:r>
          </w:p>
          <w:p w14:paraId="780D7421" w14:textId="77777777" w:rsidR="004E7F26" w:rsidRDefault="004E7F26" w:rsidP="004E7F26">
            <w:pPr>
              <w:pStyle w:val="NoSpacing"/>
              <w:numPr>
                <w:ilvl w:val="0"/>
                <w:numId w:val="11"/>
              </w:numPr>
              <w:ind w:left="504"/>
            </w:pPr>
            <w:r>
              <w:t>04/01/14 – 09/30/14, or</w:t>
            </w:r>
          </w:p>
          <w:p w14:paraId="780D7422" w14:textId="77777777" w:rsidR="004E7F26" w:rsidRDefault="004E7F26" w:rsidP="004E7F26">
            <w:pPr>
              <w:pStyle w:val="NoSpacing"/>
              <w:numPr>
                <w:ilvl w:val="0"/>
                <w:numId w:val="11"/>
              </w:numPr>
              <w:ind w:left="504"/>
            </w:pPr>
            <w:r>
              <w:t>03/01/13 – 08/31/14, or</w:t>
            </w:r>
          </w:p>
          <w:p w14:paraId="780D7423" w14:textId="77777777" w:rsidR="004E7F26" w:rsidRDefault="004E7F26" w:rsidP="004E7F26">
            <w:pPr>
              <w:pStyle w:val="NoSpacing"/>
              <w:numPr>
                <w:ilvl w:val="0"/>
                <w:numId w:val="11"/>
              </w:numPr>
              <w:ind w:left="504"/>
            </w:pPr>
            <w:r>
              <w:t>01/01/13 – 06/30/13, or</w:t>
            </w:r>
          </w:p>
          <w:p w14:paraId="780D7424" w14:textId="77777777" w:rsidR="004E7F26" w:rsidRDefault="004E7F26" w:rsidP="004E7F26">
            <w:pPr>
              <w:pStyle w:val="NoSpacing"/>
              <w:numPr>
                <w:ilvl w:val="0"/>
                <w:numId w:val="11"/>
              </w:numPr>
              <w:ind w:left="504"/>
            </w:pPr>
            <w:r>
              <w:t>07/01/13 – 12/31/13</w:t>
            </w:r>
          </w:p>
          <w:p w14:paraId="780D7425" w14:textId="77777777" w:rsidR="00F05C01" w:rsidRDefault="004E7F26" w:rsidP="00886E0E">
            <w:pPr>
              <w:pStyle w:val="NoSpacing"/>
            </w:pPr>
            <w:r>
              <w:rPr>
                <w:u w:val="single"/>
              </w:rPr>
              <w:t>Other</w:t>
            </w:r>
            <w:r>
              <w:t>: Providers specify/propose an alternative 6 or 12 month time period to be reviewed and approved by HHSC.</w:t>
            </w:r>
          </w:p>
        </w:tc>
        <w:tc>
          <w:tcPr>
            <w:tcW w:w="2070" w:type="dxa"/>
          </w:tcPr>
          <w:p w14:paraId="780D7426"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780D7427"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780D7428"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1998" w:type="dxa"/>
          </w:tcPr>
          <w:p w14:paraId="780D7429" w14:textId="77777777" w:rsidR="00743628" w:rsidRDefault="00743628" w:rsidP="00743628">
            <w:pPr>
              <w:pStyle w:val="NoSpacing"/>
              <w:rPr>
                <w:b/>
              </w:rPr>
            </w:pPr>
            <w:r>
              <w:rPr>
                <w:b/>
              </w:rPr>
              <w:t>Providers must report data across a 12-month time period that meets the following parameters:</w:t>
            </w:r>
          </w:p>
          <w:p w14:paraId="780D742A"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780D742B"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780D7433" w14:textId="77777777" w:rsidTr="0071629B">
        <w:tc>
          <w:tcPr>
            <w:tcW w:w="2538" w:type="dxa"/>
          </w:tcPr>
          <w:p w14:paraId="780D742D" w14:textId="77777777" w:rsidR="00AD706B" w:rsidRDefault="00AD706B" w:rsidP="00A374B8">
            <w:pPr>
              <w:pStyle w:val="NoSpacing"/>
              <w:rPr>
                <w:b/>
              </w:rPr>
            </w:pPr>
            <w:r>
              <w:rPr>
                <w:b/>
              </w:rPr>
              <w:t>Reporting Opportunities to HHSC</w:t>
            </w:r>
          </w:p>
        </w:tc>
        <w:tc>
          <w:tcPr>
            <w:tcW w:w="2970" w:type="dxa"/>
          </w:tcPr>
          <w:p w14:paraId="780D742E" w14:textId="77777777" w:rsidR="00AD706B" w:rsidRDefault="00AD706B" w:rsidP="00A374B8">
            <w:pPr>
              <w:pStyle w:val="NoSpacing"/>
              <w:jc w:val="center"/>
            </w:pPr>
            <w:r w:rsidRPr="00135F3A">
              <w:t>10</w:t>
            </w:r>
            <w:r>
              <w:t>/31/2014</w:t>
            </w:r>
          </w:p>
        </w:tc>
        <w:tc>
          <w:tcPr>
            <w:tcW w:w="2070" w:type="dxa"/>
          </w:tcPr>
          <w:p w14:paraId="780D742F" w14:textId="77777777" w:rsidR="00AD706B" w:rsidRPr="00135F3A" w:rsidRDefault="00AD706B" w:rsidP="00A374B8">
            <w:pPr>
              <w:pStyle w:val="NoSpacing"/>
              <w:jc w:val="center"/>
            </w:pPr>
            <w:r w:rsidRPr="00135F3A">
              <w:t>4/30/2015</w:t>
            </w:r>
          </w:p>
          <w:p w14:paraId="780D7430" w14:textId="77777777" w:rsidR="00AD706B" w:rsidRPr="00AC6074" w:rsidRDefault="00AD706B" w:rsidP="00A374B8">
            <w:pPr>
              <w:pStyle w:val="NoSpacing"/>
              <w:jc w:val="center"/>
              <w:rPr>
                <w:b/>
              </w:rPr>
            </w:pPr>
            <w:r w:rsidRPr="00135F3A">
              <w:t>10/31/2015</w:t>
            </w:r>
          </w:p>
        </w:tc>
        <w:tc>
          <w:tcPr>
            <w:tcW w:w="1998" w:type="dxa"/>
          </w:tcPr>
          <w:p w14:paraId="780D7431" w14:textId="77777777" w:rsidR="00AD706B" w:rsidRPr="00135F3A" w:rsidRDefault="00AD706B" w:rsidP="00A374B8">
            <w:pPr>
              <w:pStyle w:val="NoSpacing"/>
              <w:jc w:val="center"/>
            </w:pPr>
            <w:r w:rsidRPr="00135F3A">
              <w:t>4/30/2016</w:t>
            </w:r>
          </w:p>
          <w:p w14:paraId="780D7432" w14:textId="77777777" w:rsidR="00AD706B" w:rsidRDefault="00AD706B" w:rsidP="00A374B8">
            <w:pPr>
              <w:pStyle w:val="NoSpacing"/>
              <w:jc w:val="center"/>
              <w:rPr>
                <w:b/>
              </w:rPr>
            </w:pPr>
            <w:r w:rsidRPr="00135F3A">
              <w:t>10/31/2016</w:t>
            </w:r>
          </w:p>
        </w:tc>
      </w:tr>
      <w:tr w:rsidR="000D1199" w14:paraId="780D743B" w14:textId="77777777" w:rsidTr="0071629B">
        <w:tc>
          <w:tcPr>
            <w:tcW w:w="2538" w:type="dxa"/>
          </w:tcPr>
          <w:p w14:paraId="780D7434" w14:textId="77777777" w:rsidR="000D1199" w:rsidRDefault="000D1199" w:rsidP="000D1199">
            <w:pPr>
              <w:pStyle w:val="NoSpacing"/>
              <w:rPr>
                <w:b/>
              </w:rPr>
            </w:pPr>
            <w:r>
              <w:rPr>
                <w:b/>
              </w:rPr>
              <w:t>Pay for Performance Target Methodology</w:t>
            </w:r>
          </w:p>
          <w:p w14:paraId="780D7435" w14:textId="77777777" w:rsidR="000D1199" w:rsidRDefault="000D1199" w:rsidP="000D1199">
            <w:pPr>
              <w:pStyle w:val="NoSpacing"/>
              <w:rPr>
                <w:b/>
              </w:rPr>
            </w:pPr>
          </w:p>
          <w:p w14:paraId="780D7436" w14:textId="77777777" w:rsidR="000D1199" w:rsidRPr="00375652" w:rsidRDefault="000D1199" w:rsidP="000D1199">
            <w:pPr>
              <w:pStyle w:val="NoSpacing"/>
              <w:rPr>
                <w:i/>
              </w:rPr>
            </w:pPr>
            <w:r w:rsidRPr="00375652">
              <w:rPr>
                <w:i/>
              </w:rPr>
              <w:t>(</w:t>
            </w:r>
            <w:r w:rsidR="0011709A" w:rsidRPr="00375652">
              <w:rPr>
                <w:i/>
              </w:rPr>
              <w:t xml:space="preserve">Note: </w:t>
            </w:r>
            <w:r w:rsidRPr="00375652">
              <w:rPr>
                <w:i/>
              </w:rPr>
              <w:t>See DSRIP Category 3 Companion Document for detailed P4P target methodology descriptions</w:t>
            </w:r>
            <w:r w:rsidR="00375652">
              <w:rPr>
                <w:i/>
              </w:rPr>
              <w:t xml:space="preserve"> pertaining to (1) QISMC methodology, and (2) Improvement Over Self methodology.)</w:t>
            </w:r>
          </w:p>
          <w:p w14:paraId="780D7437" w14:textId="77777777" w:rsidR="000D1199" w:rsidRPr="000D1199" w:rsidRDefault="000D1199" w:rsidP="000D1199">
            <w:pPr>
              <w:pStyle w:val="NoSpacing"/>
            </w:pPr>
          </w:p>
        </w:tc>
        <w:tc>
          <w:tcPr>
            <w:tcW w:w="2970" w:type="dxa"/>
          </w:tcPr>
          <w:p w14:paraId="780D7438" w14:textId="77777777" w:rsidR="000D1199" w:rsidRDefault="000D1199" w:rsidP="000D1199">
            <w:pPr>
              <w:pStyle w:val="NoSpacing"/>
            </w:pPr>
            <w:r>
              <w:t>Not Applicable</w:t>
            </w:r>
          </w:p>
        </w:tc>
        <w:tc>
          <w:tcPr>
            <w:tcW w:w="2070" w:type="dxa"/>
          </w:tcPr>
          <w:p w14:paraId="780D7439" w14:textId="743AEEF8" w:rsidR="000D1199" w:rsidRDefault="00A21F4D" w:rsidP="000D1199">
            <w:pPr>
              <w:pStyle w:val="NoSpacing"/>
            </w:pPr>
            <w:r>
              <w:t>QISMC</w:t>
            </w:r>
          </w:p>
        </w:tc>
        <w:tc>
          <w:tcPr>
            <w:tcW w:w="1998" w:type="dxa"/>
          </w:tcPr>
          <w:p w14:paraId="780D743A" w14:textId="3D1D6770" w:rsidR="000D1199" w:rsidRDefault="00A21F4D" w:rsidP="000D1199">
            <w:pPr>
              <w:pStyle w:val="NoSpacing"/>
            </w:pPr>
            <w:r>
              <w:t>QISMC</w:t>
            </w:r>
          </w:p>
        </w:tc>
      </w:tr>
      <w:tr w:rsidR="005802A0" w14:paraId="780D7441" w14:textId="77777777" w:rsidTr="0071629B">
        <w:tc>
          <w:tcPr>
            <w:tcW w:w="2538" w:type="dxa"/>
          </w:tcPr>
          <w:p w14:paraId="780D743C" w14:textId="77777777" w:rsidR="005802A0" w:rsidRDefault="005802A0" w:rsidP="00A374B8">
            <w:pPr>
              <w:pStyle w:val="NoSpacing"/>
              <w:rPr>
                <w:b/>
              </w:rPr>
            </w:pPr>
            <w:r>
              <w:rPr>
                <w:b/>
              </w:rPr>
              <w:t xml:space="preserve">Pay for Performance QISMC Benchmark </w:t>
            </w:r>
            <w:r w:rsidR="0088642E">
              <w:rPr>
                <w:b/>
              </w:rPr>
              <w:t>Definition</w:t>
            </w:r>
            <w:r>
              <w:rPr>
                <w:b/>
              </w:rPr>
              <w:t xml:space="preserve"> </w:t>
            </w:r>
          </w:p>
          <w:p w14:paraId="780D743D" w14:textId="77777777" w:rsidR="005802A0" w:rsidRPr="008B27F1" w:rsidRDefault="005802A0" w:rsidP="00A374B8">
            <w:pPr>
              <w:pStyle w:val="NoSpacing"/>
            </w:pPr>
          </w:p>
        </w:tc>
        <w:tc>
          <w:tcPr>
            <w:tcW w:w="2970" w:type="dxa"/>
          </w:tcPr>
          <w:p w14:paraId="780D743E" w14:textId="77777777" w:rsidR="005802A0" w:rsidRPr="0088544A" w:rsidRDefault="005802A0" w:rsidP="000D1199">
            <w:pPr>
              <w:pStyle w:val="NoSpacing"/>
            </w:pPr>
            <w:r>
              <w:t>Not Applicable</w:t>
            </w:r>
          </w:p>
        </w:tc>
        <w:tc>
          <w:tcPr>
            <w:tcW w:w="2070" w:type="dxa"/>
          </w:tcPr>
          <w:p w14:paraId="780D743F" w14:textId="0E3C86DB" w:rsidR="005802A0" w:rsidRPr="0088544A" w:rsidRDefault="00541F7B" w:rsidP="0088642E">
            <w:pPr>
              <w:pStyle w:val="NoSpacing"/>
            </w:pPr>
            <w:r>
              <w:t>TBD</w:t>
            </w:r>
          </w:p>
        </w:tc>
        <w:tc>
          <w:tcPr>
            <w:tcW w:w="1998" w:type="dxa"/>
          </w:tcPr>
          <w:p w14:paraId="780D7440" w14:textId="430E3967" w:rsidR="005802A0" w:rsidRPr="0088544A" w:rsidRDefault="00541F7B" w:rsidP="004D0FC3">
            <w:pPr>
              <w:pStyle w:val="NoSpacing"/>
            </w:pPr>
            <w:r>
              <w:t>TBD</w:t>
            </w:r>
          </w:p>
        </w:tc>
      </w:tr>
      <w:tr w:rsidR="0088642E" w14:paraId="780D7447" w14:textId="77777777" w:rsidTr="0071629B">
        <w:tc>
          <w:tcPr>
            <w:tcW w:w="2538" w:type="dxa"/>
          </w:tcPr>
          <w:p w14:paraId="780D7442" w14:textId="77777777" w:rsidR="0088642E" w:rsidRDefault="0088642E" w:rsidP="0088642E">
            <w:pPr>
              <w:pStyle w:val="NoSpacing"/>
              <w:rPr>
                <w:b/>
              </w:rPr>
            </w:pPr>
            <w:r>
              <w:rPr>
                <w:b/>
              </w:rPr>
              <w:t xml:space="preserve">Pay for Performance QISMC Benchmark </w:t>
            </w:r>
            <w:r w:rsidR="0011709A">
              <w:rPr>
                <w:b/>
              </w:rPr>
              <w:t>Source</w:t>
            </w:r>
          </w:p>
          <w:p w14:paraId="780D7443" w14:textId="77777777" w:rsidR="0088642E" w:rsidRDefault="0088642E" w:rsidP="00A374B8">
            <w:pPr>
              <w:pStyle w:val="NoSpacing"/>
              <w:rPr>
                <w:b/>
              </w:rPr>
            </w:pPr>
          </w:p>
        </w:tc>
        <w:tc>
          <w:tcPr>
            <w:tcW w:w="2970" w:type="dxa"/>
          </w:tcPr>
          <w:p w14:paraId="780D7444" w14:textId="77777777" w:rsidR="0088642E" w:rsidRDefault="0088642E" w:rsidP="000D1199">
            <w:pPr>
              <w:pStyle w:val="NoSpacing"/>
            </w:pPr>
            <w:r>
              <w:lastRenderedPageBreak/>
              <w:t>Not Applicable</w:t>
            </w:r>
          </w:p>
        </w:tc>
        <w:tc>
          <w:tcPr>
            <w:tcW w:w="2070" w:type="dxa"/>
          </w:tcPr>
          <w:p w14:paraId="780D7445" w14:textId="70FDA924" w:rsidR="0088642E" w:rsidRDefault="00A21F4D" w:rsidP="0088642E">
            <w:pPr>
              <w:pStyle w:val="NoSpacing"/>
            </w:pPr>
            <w:r>
              <w:t>TBD</w:t>
            </w:r>
          </w:p>
        </w:tc>
        <w:tc>
          <w:tcPr>
            <w:tcW w:w="1998" w:type="dxa"/>
          </w:tcPr>
          <w:p w14:paraId="780D7446" w14:textId="50C36746" w:rsidR="0088642E" w:rsidRDefault="00A21F4D" w:rsidP="004D0FC3">
            <w:pPr>
              <w:pStyle w:val="NoSpacing"/>
            </w:pPr>
            <w:r>
              <w:t>T</w:t>
            </w:r>
            <w:bookmarkStart w:id="0" w:name="_GoBack"/>
            <w:bookmarkEnd w:id="0"/>
            <w:r>
              <w:t>BD</w:t>
            </w:r>
          </w:p>
        </w:tc>
      </w:tr>
      <w:tr w:rsidR="00A21F4D" w14:paraId="780D744C" w14:textId="77777777" w:rsidTr="0071629B">
        <w:tc>
          <w:tcPr>
            <w:tcW w:w="2538" w:type="dxa"/>
          </w:tcPr>
          <w:p w14:paraId="780D7448" w14:textId="77777777" w:rsidR="00A21F4D" w:rsidRDefault="00A21F4D" w:rsidP="00A374B8">
            <w:pPr>
              <w:pStyle w:val="NoSpacing"/>
              <w:rPr>
                <w:b/>
              </w:rPr>
            </w:pPr>
            <w:r>
              <w:rPr>
                <w:b/>
              </w:rPr>
              <w:lastRenderedPageBreak/>
              <w:t>Pay for Performance QISMC High Performance Level Definition</w:t>
            </w:r>
          </w:p>
        </w:tc>
        <w:tc>
          <w:tcPr>
            <w:tcW w:w="2970" w:type="dxa"/>
          </w:tcPr>
          <w:p w14:paraId="780D7449" w14:textId="77777777" w:rsidR="00A21F4D" w:rsidRDefault="00A21F4D" w:rsidP="000D1199">
            <w:pPr>
              <w:pStyle w:val="NoSpacing"/>
            </w:pPr>
            <w:r>
              <w:t>Not Applicable</w:t>
            </w:r>
          </w:p>
        </w:tc>
        <w:tc>
          <w:tcPr>
            <w:tcW w:w="2070" w:type="dxa"/>
          </w:tcPr>
          <w:p w14:paraId="780D744A" w14:textId="631A3BE9" w:rsidR="00A21F4D" w:rsidRDefault="00A21F4D" w:rsidP="005C70A1">
            <w:pPr>
              <w:pStyle w:val="NoSpacing"/>
            </w:pPr>
            <w:r>
              <w:t>TBD</w:t>
            </w:r>
          </w:p>
        </w:tc>
        <w:tc>
          <w:tcPr>
            <w:tcW w:w="1998" w:type="dxa"/>
          </w:tcPr>
          <w:p w14:paraId="780D744B" w14:textId="49A11534" w:rsidR="00A21F4D" w:rsidRDefault="00A21F4D" w:rsidP="004D0FC3">
            <w:pPr>
              <w:pStyle w:val="NoSpacing"/>
            </w:pPr>
            <w:r>
              <w:t>TBD</w:t>
            </w:r>
          </w:p>
        </w:tc>
      </w:tr>
      <w:tr w:rsidR="00A21F4D" w14:paraId="780D7451" w14:textId="77777777" w:rsidTr="0071629B">
        <w:tc>
          <w:tcPr>
            <w:tcW w:w="2538" w:type="dxa"/>
          </w:tcPr>
          <w:p w14:paraId="780D744D" w14:textId="77777777" w:rsidR="00A21F4D" w:rsidRDefault="00A21F4D" w:rsidP="005802A0">
            <w:pPr>
              <w:pStyle w:val="NoSpacing"/>
              <w:rPr>
                <w:b/>
              </w:rPr>
            </w:pPr>
            <w:r>
              <w:rPr>
                <w:b/>
              </w:rPr>
              <w:t>Pay for Performance QISMC High Performance Level Value</w:t>
            </w:r>
          </w:p>
        </w:tc>
        <w:tc>
          <w:tcPr>
            <w:tcW w:w="2970" w:type="dxa"/>
          </w:tcPr>
          <w:p w14:paraId="780D744E" w14:textId="77777777" w:rsidR="00A21F4D" w:rsidRDefault="00A21F4D" w:rsidP="000D1199">
            <w:pPr>
              <w:pStyle w:val="NoSpacing"/>
            </w:pPr>
            <w:r>
              <w:t>Not Applicable</w:t>
            </w:r>
          </w:p>
        </w:tc>
        <w:tc>
          <w:tcPr>
            <w:tcW w:w="2070" w:type="dxa"/>
          </w:tcPr>
          <w:p w14:paraId="780D744F" w14:textId="7CA7916D" w:rsidR="00A21F4D" w:rsidRDefault="00A21F4D" w:rsidP="005802A0">
            <w:pPr>
              <w:pStyle w:val="NoSpacing"/>
            </w:pPr>
            <w:r>
              <w:t>TBD</w:t>
            </w:r>
          </w:p>
        </w:tc>
        <w:tc>
          <w:tcPr>
            <w:tcW w:w="1998" w:type="dxa"/>
          </w:tcPr>
          <w:p w14:paraId="780D7450" w14:textId="14CCFBB0" w:rsidR="00A21F4D" w:rsidRDefault="00A21F4D" w:rsidP="004D0FC3">
            <w:pPr>
              <w:pStyle w:val="NoSpacing"/>
            </w:pPr>
            <w:r>
              <w:t>TBD</w:t>
            </w:r>
          </w:p>
        </w:tc>
      </w:tr>
      <w:tr w:rsidR="00A21F4D" w14:paraId="780D7456" w14:textId="77777777" w:rsidTr="0071629B">
        <w:tc>
          <w:tcPr>
            <w:tcW w:w="2538" w:type="dxa"/>
          </w:tcPr>
          <w:p w14:paraId="780D7452" w14:textId="77777777" w:rsidR="00A21F4D" w:rsidRDefault="00A21F4D" w:rsidP="00823868">
            <w:pPr>
              <w:pStyle w:val="NoSpacing"/>
              <w:rPr>
                <w:b/>
              </w:rPr>
            </w:pPr>
            <w:r>
              <w:rPr>
                <w:b/>
              </w:rPr>
              <w:t>Pay for Performance QISMC Minimum Performance Level Definition</w:t>
            </w:r>
          </w:p>
        </w:tc>
        <w:tc>
          <w:tcPr>
            <w:tcW w:w="2970" w:type="dxa"/>
          </w:tcPr>
          <w:p w14:paraId="780D7453" w14:textId="77777777" w:rsidR="00A21F4D" w:rsidRDefault="00A21F4D" w:rsidP="000D1199">
            <w:pPr>
              <w:pStyle w:val="NoSpacing"/>
            </w:pPr>
            <w:r>
              <w:t>Not Applicable</w:t>
            </w:r>
          </w:p>
        </w:tc>
        <w:tc>
          <w:tcPr>
            <w:tcW w:w="2070" w:type="dxa"/>
          </w:tcPr>
          <w:p w14:paraId="780D7454" w14:textId="622C004D" w:rsidR="00A21F4D" w:rsidRDefault="00A21F4D" w:rsidP="005802A0">
            <w:pPr>
              <w:pStyle w:val="NoSpacing"/>
            </w:pPr>
            <w:r>
              <w:t>TBD</w:t>
            </w:r>
          </w:p>
        </w:tc>
        <w:tc>
          <w:tcPr>
            <w:tcW w:w="1998" w:type="dxa"/>
          </w:tcPr>
          <w:p w14:paraId="780D7455" w14:textId="235707F3" w:rsidR="00A21F4D" w:rsidRDefault="00A21F4D" w:rsidP="004D0FC3">
            <w:pPr>
              <w:pStyle w:val="NoSpacing"/>
            </w:pPr>
            <w:r>
              <w:t>TBD</w:t>
            </w:r>
          </w:p>
        </w:tc>
      </w:tr>
      <w:tr w:rsidR="00A21F4D" w14:paraId="780D745B" w14:textId="77777777" w:rsidTr="0071629B">
        <w:tc>
          <w:tcPr>
            <w:tcW w:w="2538" w:type="dxa"/>
          </w:tcPr>
          <w:p w14:paraId="780D7457" w14:textId="77777777" w:rsidR="00A21F4D" w:rsidRDefault="00A21F4D" w:rsidP="004D0FC3">
            <w:pPr>
              <w:pStyle w:val="NoSpacing"/>
              <w:rPr>
                <w:b/>
              </w:rPr>
            </w:pPr>
            <w:r>
              <w:rPr>
                <w:b/>
              </w:rPr>
              <w:t>Pay for Performance QISMC Minimum Performance Level Value</w:t>
            </w:r>
          </w:p>
        </w:tc>
        <w:tc>
          <w:tcPr>
            <w:tcW w:w="2970" w:type="dxa"/>
          </w:tcPr>
          <w:p w14:paraId="780D7458" w14:textId="77777777" w:rsidR="00A21F4D" w:rsidRDefault="00A21F4D" w:rsidP="004D0FC3">
            <w:pPr>
              <w:pStyle w:val="NoSpacing"/>
            </w:pPr>
            <w:r>
              <w:t>Not Applicable</w:t>
            </w:r>
          </w:p>
        </w:tc>
        <w:tc>
          <w:tcPr>
            <w:tcW w:w="2070" w:type="dxa"/>
          </w:tcPr>
          <w:p w14:paraId="780D7459" w14:textId="0DAD3177" w:rsidR="00A21F4D" w:rsidRDefault="00A21F4D" w:rsidP="005802A0">
            <w:pPr>
              <w:pStyle w:val="NoSpacing"/>
            </w:pPr>
            <w:r>
              <w:t>TBD</w:t>
            </w:r>
          </w:p>
        </w:tc>
        <w:tc>
          <w:tcPr>
            <w:tcW w:w="1998" w:type="dxa"/>
          </w:tcPr>
          <w:p w14:paraId="780D745A" w14:textId="255BA0A7" w:rsidR="00A21F4D" w:rsidRDefault="00A21F4D" w:rsidP="005802A0">
            <w:pPr>
              <w:pStyle w:val="NoSpacing"/>
            </w:pPr>
            <w:r>
              <w:t>TBD</w:t>
            </w:r>
          </w:p>
        </w:tc>
      </w:tr>
    </w:tbl>
    <w:p w14:paraId="780D745C"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0D50" w14:textId="77777777" w:rsidR="00AA0CA2" w:rsidRDefault="00AA0CA2" w:rsidP="00F63191">
      <w:pPr>
        <w:spacing w:after="0" w:line="240" w:lineRule="auto"/>
      </w:pPr>
      <w:r>
        <w:separator/>
      </w:r>
    </w:p>
  </w:endnote>
  <w:endnote w:type="continuationSeparator" w:id="0">
    <w:p w14:paraId="6874F4CE" w14:textId="77777777" w:rsidR="00AA0CA2" w:rsidRDefault="00AA0CA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780D7462" w14:textId="77777777" w:rsidR="002E14AF" w:rsidRDefault="002E14AF">
        <w:pPr>
          <w:pStyle w:val="Footer"/>
          <w:jc w:val="right"/>
        </w:pPr>
        <w:r>
          <w:fldChar w:fldCharType="begin"/>
        </w:r>
        <w:r>
          <w:instrText xml:space="preserve"> PAGE   \* MERGEFORMAT </w:instrText>
        </w:r>
        <w:r>
          <w:fldChar w:fldCharType="separate"/>
        </w:r>
        <w:r w:rsidR="00C01A50">
          <w:rPr>
            <w:noProof/>
          </w:rPr>
          <w:t>4</w:t>
        </w:r>
        <w:r>
          <w:rPr>
            <w:noProof/>
          </w:rPr>
          <w:fldChar w:fldCharType="end"/>
        </w:r>
      </w:p>
    </w:sdtContent>
  </w:sdt>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30" w14:textId="77777777" w:rsidR="00AA0CA2" w:rsidRDefault="00AA0CA2" w:rsidP="00F63191">
      <w:pPr>
        <w:spacing w:after="0" w:line="240" w:lineRule="auto"/>
      </w:pPr>
      <w:r>
        <w:separator/>
      </w:r>
    </w:p>
  </w:footnote>
  <w:footnote w:type="continuationSeparator" w:id="0">
    <w:p w14:paraId="0004FE95" w14:textId="77777777" w:rsidR="00AA0CA2" w:rsidRDefault="00AA0CA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3DA33059"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7EED"/>
    <w:rsid w:val="00100A2F"/>
    <w:rsid w:val="00107C1A"/>
    <w:rsid w:val="00116208"/>
    <w:rsid w:val="0011709A"/>
    <w:rsid w:val="00165D76"/>
    <w:rsid w:val="001D6BEA"/>
    <w:rsid w:val="001F49EC"/>
    <w:rsid w:val="002224F0"/>
    <w:rsid w:val="00245754"/>
    <w:rsid w:val="00271E53"/>
    <w:rsid w:val="002845C2"/>
    <w:rsid w:val="002E14AF"/>
    <w:rsid w:val="0032246B"/>
    <w:rsid w:val="003268B7"/>
    <w:rsid w:val="00346B8D"/>
    <w:rsid w:val="00356CF4"/>
    <w:rsid w:val="00366D0B"/>
    <w:rsid w:val="00375652"/>
    <w:rsid w:val="00383516"/>
    <w:rsid w:val="003844DB"/>
    <w:rsid w:val="003A409E"/>
    <w:rsid w:val="003F4E8D"/>
    <w:rsid w:val="00416E44"/>
    <w:rsid w:val="004E7F26"/>
    <w:rsid w:val="00502BE4"/>
    <w:rsid w:val="00506BC5"/>
    <w:rsid w:val="00536799"/>
    <w:rsid w:val="00541F7B"/>
    <w:rsid w:val="00561D6D"/>
    <w:rsid w:val="005802A0"/>
    <w:rsid w:val="005857E6"/>
    <w:rsid w:val="005B79DD"/>
    <w:rsid w:val="005C70A1"/>
    <w:rsid w:val="005F0C15"/>
    <w:rsid w:val="005F4D43"/>
    <w:rsid w:val="0071629B"/>
    <w:rsid w:val="007164C7"/>
    <w:rsid w:val="00743628"/>
    <w:rsid w:val="00760D27"/>
    <w:rsid w:val="00785B45"/>
    <w:rsid w:val="00787D45"/>
    <w:rsid w:val="007C728B"/>
    <w:rsid w:val="007C7C85"/>
    <w:rsid w:val="007E0395"/>
    <w:rsid w:val="007F675B"/>
    <w:rsid w:val="007F7C07"/>
    <w:rsid w:val="00823868"/>
    <w:rsid w:val="00827557"/>
    <w:rsid w:val="008722BB"/>
    <w:rsid w:val="00874FAA"/>
    <w:rsid w:val="008779F5"/>
    <w:rsid w:val="0088642E"/>
    <w:rsid w:val="00886E0E"/>
    <w:rsid w:val="008A5405"/>
    <w:rsid w:val="008D1A8E"/>
    <w:rsid w:val="008F0411"/>
    <w:rsid w:val="008F249E"/>
    <w:rsid w:val="00965A2A"/>
    <w:rsid w:val="00967948"/>
    <w:rsid w:val="00982BD4"/>
    <w:rsid w:val="00994A41"/>
    <w:rsid w:val="00996DD5"/>
    <w:rsid w:val="009A7508"/>
    <w:rsid w:val="009C6EA3"/>
    <w:rsid w:val="009F04D0"/>
    <w:rsid w:val="009F78A7"/>
    <w:rsid w:val="009F7E66"/>
    <w:rsid w:val="00A11BD9"/>
    <w:rsid w:val="00A21F4D"/>
    <w:rsid w:val="00A82574"/>
    <w:rsid w:val="00AA0CA2"/>
    <w:rsid w:val="00AC3A97"/>
    <w:rsid w:val="00AD706B"/>
    <w:rsid w:val="00AF3A3D"/>
    <w:rsid w:val="00B05CBF"/>
    <w:rsid w:val="00B20462"/>
    <w:rsid w:val="00B546CF"/>
    <w:rsid w:val="00B65D92"/>
    <w:rsid w:val="00B7257A"/>
    <w:rsid w:val="00BA61F1"/>
    <w:rsid w:val="00BC4643"/>
    <w:rsid w:val="00C01A50"/>
    <w:rsid w:val="00C01E6F"/>
    <w:rsid w:val="00C36D72"/>
    <w:rsid w:val="00C86C48"/>
    <w:rsid w:val="00C9758A"/>
    <w:rsid w:val="00CA2D3E"/>
    <w:rsid w:val="00CA4C08"/>
    <w:rsid w:val="00CC28BC"/>
    <w:rsid w:val="00CD7069"/>
    <w:rsid w:val="00D1777E"/>
    <w:rsid w:val="00D63CD3"/>
    <w:rsid w:val="00DB7651"/>
    <w:rsid w:val="00DE660A"/>
    <w:rsid w:val="00E1692C"/>
    <w:rsid w:val="00E43145"/>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1F4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1F4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260993719">
      <w:bodyDiv w:val="1"/>
      <w:marLeft w:val="0"/>
      <w:marRight w:val="0"/>
      <w:marTop w:val="0"/>
      <w:marBottom w:val="0"/>
      <w:divBdr>
        <w:top w:val="none" w:sz="0" w:space="0" w:color="auto"/>
        <w:left w:val="none" w:sz="0" w:space="0" w:color="auto"/>
        <w:bottom w:val="none" w:sz="0" w:space="0" w:color="auto"/>
        <w:right w:val="none" w:sz="0" w:space="0" w:color="auto"/>
      </w:divBdr>
    </w:div>
    <w:div w:id="14695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nual.jointcommission.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04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4A108851-1844-46D2-B6E8-AC400793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2014-03-07T04:52:00Z</dcterms:created>
  <dcterms:modified xsi:type="dcterms:W3CDTF">2014-03-07T04:52:00Z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