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7A710014" w:rsidR="00AD706B" w:rsidRDefault="00AD706B" w:rsidP="009D1B05">
      <w:pPr>
        <w:pStyle w:val="Heading1"/>
        <w:tabs>
          <w:tab w:val="left" w:pos="7873"/>
        </w:tabs>
      </w:pPr>
      <w:r>
        <w:t>IT-</w:t>
      </w:r>
      <w:r w:rsidR="003B5199">
        <w:t>8.3: Early Elective Delivery</w:t>
      </w:r>
      <w:r w:rsidR="009D1B0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80D73B5" w14:textId="77777777" w:rsidTr="00CF50B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04482997" w:rsidR="00AD706B" w:rsidRPr="00EC0065" w:rsidRDefault="00EC0065" w:rsidP="00B05CBF">
            <w:pPr>
              <w:pStyle w:val="NoSpacing"/>
              <w:rPr>
                <w:b/>
              </w:rPr>
            </w:pPr>
            <w:r w:rsidRPr="00CF50BA">
              <w:rPr>
                <w:b/>
              </w:rPr>
              <w:t xml:space="preserve">IT-8.3 </w:t>
            </w:r>
            <w:r w:rsidR="003B5199" w:rsidRPr="00CF50BA">
              <w:rPr>
                <w:b/>
              </w:rPr>
              <w:t>Early Elective Delivery</w:t>
            </w:r>
          </w:p>
        </w:tc>
      </w:tr>
      <w:tr w:rsidR="00AD706B" w14:paraId="780D73B8" w14:textId="77777777" w:rsidTr="00CF50BA">
        <w:tc>
          <w:tcPr>
            <w:tcW w:w="271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5F7028C5" w14:textId="77777777" w:rsidR="00EC0065" w:rsidRDefault="003B5199" w:rsidP="00B05CBF">
            <w:pPr>
              <w:pStyle w:val="NoSpacing"/>
            </w:pPr>
            <w:r>
              <w:t xml:space="preserve">This measure assesses patients with elective vaginal deliveries or elective cesarean sections at &gt;= 37 and &lt; 39 weeks of gestation completed. </w:t>
            </w:r>
          </w:p>
          <w:p w14:paraId="5BE6E7C6" w14:textId="77777777" w:rsidR="00EC0065" w:rsidRDefault="00EC0065" w:rsidP="00B05CBF">
            <w:pPr>
              <w:pStyle w:val="NoSpacing"/>
            </w:pPr>
          </w:p>
          <w:p w14:paraId="780D73B7" w14:textId="6CD90021" w:rsidR="00AD706B" w:rsidRDefault="003B5199" w:rsidP="00B05CBF">
            <w:pPr>
              <w:pStyle w:val="NoSpacing"/>
            </w:pPr>
            <w:r>
              <w:t>This measure is a part of a set of five nationally implemented measures that address perinatal care (PC-02: Cesarean Section, PC-03: Antenatal Steroids, PC-04: Health Care-Associated Bloodstream Infections in Newborns, PC-05: Exclusive Breast Milk Feeding)</w:t>
            </w:r>
          </w:p>
        </w:tc>
      </w:tr>
      <w:tr w:rsidR="00AD706B" w14:paraId="780D73BB" w14:textId="77777777" w:rsidTr="00CF50BA">
        <w:tc>
          <w:tcPr>
            <w:tcW w:w="271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43B0697A" w:rsidR="00AD706B" w:rsidRDefault="003B5199" w:rsidP="003B5199">
            <w:pPr>
              <w:pStyle w:val="NoSpacing"/>
            </w:pPr>
            <w:r>
              <w:t>0469</w:t>
            </w:r>
          </w:p>
        </w:tc>
      </w:tr>
      <w:tr w:rsidR="00AD706B" w14:paraId="780D73BE" w14:textId="77777777" w:rsidTr="00CF50BA">
        <w:tc>
          <w:tcPr>
            <w:tcW w:w="271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0F7CBD6D" w:rsidR="00AD706B" w:rsidRPr="00631E85" w:rsidRDefault="003B5199" w:rsidP="003B5199">
            <w:pPr>
              <w:pStyle w:val="NoSpacing"/>
            </w:pPr>
            <w:r>
              <w:t>The Joint Commission</w:t>
            </w:r>
          </w:p>
        </w:tc>
      </w:tr>
      <w:tr w:rsidR="00AD706B" w14:paraId="780D73C1" w14:textId="77777777" w:rsidTr="00CF50BA">
        <w:tc>
          <w:tcPr>
            <w:tcW w:w="271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80D73C0" w14:textId="1D5AFCD7" w:rsidR="00AD706B" w:rsidRPr="00631E85" w:rsidRDefault="000853E7" w:rsidP="003B5199">
            <w:pPr>
              <w:pStyle w:val="NoSpacing"/>
            </w:pPr>
            <w:hyperlink r:id="rId12" w:history="1">
              <w:r w:rsidR="003B5199" w:rsidRPr="00380B18">
                <w:rPr>
                  <w:rStyle w:val="Hyperlink"/>
                </w:rPr>
                <w:t>https://www.qualityforum.org/QPS/0469</w:t>
              </w:r>
            </w:hyperlink>
            <w:r w:rsidR="00B05CBF">
              <w:t xml:space="preserve"> </w:t>
            </w:r>
          </w:p>
        </w:tc>
      </w:tr>
      <w:tr w:rsidR="00AD706B" w14:paraId="780D73C4" w14:textId="77777777" w:rsidTr="00CF50BA">
        <w:tc>
          <w:tcPr>
            <w:tcW w:w="271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5B8F2705" w:rsidR="00AD706B" w:rsidRDefault="00AD706B" w:rsidP="003B5199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EC0065" w14:paraId="780D73C7" w14:textId="77777777" w:rsidTr="00CF50BA">
        <w:tc>
          <w:tcPr>
            <w:tcW w:w="2718" w:type="dxa"/>
          </w:tcPr>
          <w:p w14:paraId="780D73C5" w14:textId="45FF1E14" w:rsidR="00EC0065" w:rsidRDefault="00EC0065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73BF71E4" w14:textId="77777777" w:rsidR="00EC0065" w:rsidRDefault="00EC0065" w:rsidP="003546A9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EC0065" w:rsidRPr="008331B0" w14:paraId="3AC85B07" w14:textId="77777777" w:rsidTr="003546A9">
              <w:tc>
                <w:tcPr>
                  <w:tcW w:w="2209" w:type="dxa"/>
                </w:tcPr>
                <w:p w14:paraId="12812082" w14:textId="77777777" w:rsidR="00EC0065" w:rsidRPr="008331B0" w:rsidRDefault="00EC0065" w:rsidP="003546A9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7EC8C542" w14:textId="77777777" w:rsidR="00EC0065" w:rsidRPr="008331B0" w:rsidRDefault="00EC0065" w:rsidP="003546A9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7744715B" w14:textId="77777777" w:rsidR="00EC0065" w:rsidRPr="008331B0" w:rsidRDefault="00EC0065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17BD9DFB" w14:textId="77777777" w:rsidR="00EC0065" w:rsidRPr="008331B0" w:rsidRDefault="00EC0065" w:rsidP="003546A9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60626BA4" w14:textId="77777777" w:rsidR="00EC0065" w:rsidRPr="008331B0" w:rsidRDefault="00EC0065" w:rsidP="003546A9">
                  <w:pPr>
                    <w:pStyle w:val="NoSpacing"/>
                    <w:jc w:val="center"/>
                  </w:pPr>
                </w:p>
              </w:tc>
            </w:tr>
            <w:tr w:rsidR="00EC0065" w:rsidRPr="008331B0" w14:paraId="05604DDF" w14:textId="77777777" w:rsidTr="003546A9">
              <w:tc>
                <w:tcPr>
                  <w:tcW w:w="2209" w:type="dxa"/>
                </w:tcPr>
                <w:p w14:paraId="3358FD53" w14:textId="77777777" w:rsidR="00EC0065" w:rsidRPr="008331B0" w:rsidRDefault="00EC0065" w:rsidP="003546A9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7FB3490" w14:textId="77777777" w:rsidR="00EC0065" w:rsidRDefault="00EC0065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5% *(performance gap) </w:t>
                  </w:r>
                </w:p>
                <w:p w14:paraId="7B1C693A" w14:textId="77777777" w:rsidR="00EC0065" w:rsidRDefault="00EC0065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0BFDCC16" w14:textId="51413F5F" w:rsidR="00EC0065" w:rsidRPr="008331B0" w:rsidRDefault="00EC0065" w:rsidP="003C1D0B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5% *(0%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228B1EC4" w14:textId="77777777" w:rsidR="00EC0065" w:rsidRDefault="00EC0065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4E281693" w14:textId="77777777" w:rsidR="00EC0065" w:rsidRDefault="00EC0065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72F6E947" w14:textId="6F0ED46C" w:rsidR="00EC0065" w:rsidRPr="008331B0" w:rsidRDefault="00EC0065" w:rsidP="003C1D0B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>% *(</w:t>
                  </w:r>
                  <w:bookmarkStart w:id="0" w:name="_GoBack"/>
                  <w:bookmarkEnd w:id="0"/>
                  <w:r w:rsidRPr="004B796E">
                    <w:t xml:space="preserve">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780D73C6" w14:textId="6731C805" w:rsidR="00EC0065" w:rsidRDefault="00EC0065" w:rsidP="003B5199">
            <w:pPr>
              <w:pStyle w:val="NoSpacing"/>
            </w:pPr>
          </w:p>
        </w:tc>
      </w:tr>
      <w:tr w:rsidR="00AD706B" w14:paraId="780D73D0" w14:textId="77777777" w:rsidTr="00CF50BA">
        <w:tc>
          <w:tcPr>
            <w:tcW w:w="271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49C95815" w14:textId="77777777" w:rsidR="009F78A7" w:rsidRDefault="00FB4C10" w:rsidP="00FB4C10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780D73CF" w14:textId="3B18B3DC" w:rsidR="00FB4C10" w:rsidRDefault="00FB4C10" w:rsidP="00FB4C10">
            <w:pPr>
              <w:pStyle w:val="NoSpacing"/>
              <w:numPr>
                <w:ilvl w:val="0"/>
                <w:numId w:val="13"/>
              </w:numPr>
            </w:pPr>
            <w:r>
              <w:t>Removed reference to table not included in the document.</w:t>
            </w:r>
          </w:p>
        </w:tc>
      </w:tr>
      <w:tr w:rsidR="00AD706B" w14:paraId="780D73D3" w14:textId="77777777" w:rsidTr="00CF50BA">
        <w:tc>
          <w:tcPr>
            <w:tcW w:w="271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13F7A376" w:rsidR="00AD706B" w:rsidRPr="009F7E66" w:rsidRDefault="003B5199" w:rsidP="001D6BEA">
            <w:pPr>
              <w:pStyle w:val="NoSpacing"/>
            </w:pPr>
            <w:r>
              <w:t>Patients delivering newborns with &gt;= 37 and &lt; 39 weeks of gestation completed</w:t>
            </w:r>
          </w:p>
        </w:tc>
      </w:tr>
      <w:tr w:rsidR="00787D45" w14:paraId="780D73D6" w14:textId="77777777" w:rsidTr="00CF50BA">
        <w:trPr>
          <w:trHeight w:val="728"/>
        </w:trPr>
        <w:tc>
          <w:tcPr>
            <w:tcW w:w="271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16B39C58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FB3FFF">
              <w:t>n the denominator description.</w:t>
            </w:r>
          </w:p>
        </w:tc>
      </w:tr>
      <w:tr w:rsidR="00787D45" w14:paraId="780D73D9" w14:textId="77777777" w:rsidTr="00CF50BA">
        <w:trPr>
          <w:trHeight w:val="710"/>
        </w:trPr>
        <w:tc>
          <w:tcPr>
            <w:tcW w:w="271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80D73D8" w14:textId="511D3489" w:rsidR="00787D45" w:rsidRPr="001D6BEA" w:rsidRDefault="003B5199" w:rsidP="00FB4C10">
            <w:pPr>
              <w:pStyle w:val="NoSpacing"/>
            </w:pPr>
            <w:r>
              <w:t xml:space="preserve">• ICD-9-CM Principal Diagnosis Code or ICD-9-CM Other Diagnosis Codes for conditions possibly justifying elective delivery prior to 39 weeks gestation </w:t>
            </w:r>
            <w:r>
              <w:br/>
              <w:t xml:space="preserve">• Less than 8 years of age </w:t>
            </w:r>
            <w:r>
              <w:br/>
              <w:t xml:space="preserve">• Greater than or equal to 65 years of age </w:t>
            </w:r>
            <w:r>
              <w:br/>
              <w:t xml:space="preserve">• Length of Stay &gt;120 days </w:t>
            </w:r>
            <w:r>
              <w:br/>
              <w:t>• Enrolled in clinical trials</w:t>
            </w:r>
            <w:r>
              <w:br/>
              <w:t xml:space="preserve">• Prior uterine surgery </w:t>
            </w:r>
            <w:r>
              <w:br/>
              <w:t>• Gestational Age &lt; 37 or &gt;= 39 weeks</w:t>
            </w:r>
          </w:p>
        </w:tc>
      </w:tr>
      <w:tr w:rsidR="00D63CD3" w14:paraId="780D73DF" w14:textId="77777777" w:rsidTr="00CF50BA">
        <w:tc>
          <w:tcPr>
            <w:tcW w:w="271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75, providers must </w:t>
            </w:r>
            <w:r>
              <w:lastRenderedPageBreak/>
              <w:t>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CF50BA">
        <w:tc>
          <w:tcPr>
            <w:tcW w:w="271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780D73E1" w14:textId="7E371609" w:rsidR="00AC3A97" w:rsidRPr="009F7E66" w:rsidRDefault="003B5199" w:rsidP="003B5199">
            <w:pPr>
              <w:pStyle w:val="NoSpacing"/>
            </w:pPr>
            <w:r>
              <w:t xml:space="preserve">Patients with elective deliveries with ICD-9-CM Principal Procedure Code or ICD-9-CM Other Procedure Codes for one or more of the following: </w:t>
            </w:r>
            <w:r>
              <w:br/>
              <w:t xml:space="preserve">• Medical induction of labor as defined in Appendix A, Table 11.05 available at: http://manual.jointcommission.org </w:t>
            </w:r>
            <w:r>
              <w:br/>
              <w:t>• Cesarean section as defined in Appendix A, Table 11.06 while not in Labor or experiencing Spontaneous Rupture of Membranes available at: http://manual.jointcommission.org</w:t>
            </w:r>
          </w:p>
        </w:tc>
      </w:tr>
      <w:tr w:rsidR="00787D45" w14:paraId="780D73E5" w14:textId="77777777" w:rsidTr="00CF50BA">
        <w:tc>
          <w:tcPr>
            <w:tcW w:w="271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80D73E4" w14:textId="777C87F2" w:rsidR="00787D45" w:rsidRPr="0012650D" w:rsidRDefault="00EC0065" w:rsidP="00CF50BA">
            <w:pPr>
              <w:spacing w:before="100" w:beforeAutospacing="1" w:after="100" w:afterAutospacing="1" w:line="240" w:lineRule="auto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14:paraId="780D73E8" w14:textId="77777777" w:rsidTr="00CF50BA">
        <w:tc>
          <w:tcPr>
            <w:tcW w:w="271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80D73E7" w14:textId="74102334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FB3FFF">
              <w:t xml:space="preserve"> in the numerator description.</w:t>
            </w:r>
          </w:p>
        </w:tc>
      </w:tr>
      <w:tr w:rsidR="00AD706B" w14:paraId="780D73EB" w14:textId="77777777" w:rsidTr="00CF50BA">
        <w:tc>
          <w:tcPr>
            <w:tcW w:w="271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304CC138" w:rsidR="00AD706B" w:rsidRDefault="00FB3FFF" w:rsidP="00FB3FFF">
            <w:pPr>
              <w:pStyle w:val="NoSpacing"/>
            </w:pPr>
            <w:r>
              <w:t>Inpatient</w:t>
            </w:r>
          </w:p>
        </w:tc>
      </w:tr>
      <w:tr w:rsidR="00AD706B" w14:paraId="780D73EE" w14:textId="77777777" w:rsidTr="00CF50BA">
        <w:tc>
          <w:tcPr>
            <w:tcW w:w="271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2FD3A772" w:rsidR="00AD706B" w:rsidRDefault="00AF3A3D" w:rsidP="00FB3FFF">
            <w:pPr>
              <w:pStyle w:val="NoSpacing"/>
            </w:pPr>
            <w:r>
              <w:t>Administ</w:t>
            </w:r>
            <w:r w:rsidR="00FB3FFF">
              <w:t>rative/Clinical data sources</w:t>
            </w:r>
          </w:p>
        </w:tc>
      </w:tr>
      <w:tr w:rsidR="00EC0065" w14:paraId="780D740D" w14:textId="77777777" w:rsidTr="00CF50BA">
        <w:tc>
          <w:tcPr>
            <w:tcW w:w="2718" w:type="dxa"/>
          </w:tcPr>
          <w:p w14:paraId="780D73EF" w14:textId="616F4DAA" w:rsidR="00EC0065" w:rsidRPr="00717546" w:rsidRDefault="00EC0065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7FBA3268" w14:textId="77777777" w:rsidR="00EC0065" w:rsidRDefault="00EC0065" w:rsidP="003546A9">
            <w:pPr>
              <w:pStyle w:val="NoSpacing"/>
            </w:pPr>
            <w:r>
              <w:t>All denominator subsets are permissible for this outcome</w:t>
            </w:r>
          </w:p>
          <w:p w14:paraId="780D740C" w14:textId="4B45CAB4" w:rsidR="00EC0065" w:rsidRDefault="00EC0065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0D50" w14:textId="77777777" w:rsidR="00AA0CA2" w:rsidRDefault="00AA0CA2" w:rsidP="00F63191">
      <w:pPr>
        <w:spacing w:after="0" w:line="240" w:lineRule="auto"/>
      </w:pPr>
      <w:r>
        <w:separator/>
      </w:r>
    </w:p>
  </w:endnote>
  <w:endnote w:type="continuationSeparator" w:id="0">
    <w:p w14:paraId="6874F4CE" w14:textId="77777777" w:rsidR="00AA0CA2" w:rsidRDefault="00AA0CA2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E9D2" w14:textId="1EC0E48B" w:rsidR="000853E7" w:rsidRDefault="000853E7">
    <w:pPr>
      <w:pStyle w:val="Footer"/>
    </w:pPr>
    <w:r>
      <w:t>09/</w:t>
    </w:r>
    <w:r w:rsidR="000A1947">
      <w:t>25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7430" w14:textId="77777777" w:rsidR="00AA0CA2" w:rsidRDefault="00AA0CA2" w:rsidP="00F63191">
      <w:pPr>
        <w:spacing w:after="0" w:line="240" w:lineRule="auto"/>
      </w:pPr>
      <w:r>
        <w:separator/>
      </w:r>
    </w:p>
  </w:footnote>
  <w:footnote w:type="continuationSeparator" w:id="0">
    <w:p w14:paraId="0004FE95" w14:textId="77777777" w:rsidR="00AA0CA2" w:rsidRDefault="00AA0CA2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6E036691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0C7A"/>
    <w:multiLevelType w:val="hybridMultilevel"/>
    <w:tmpl w:val="A8D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4658"/>
    <w:multiLevelType w:val="multilevel"/>
    <w:tmpl w:val="C43A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8029B"/>
    <w:rsid w:val="000853E7"/>
    <w:rsid w:val="000A1947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54"/>
    <w:rsid w:val="00271E53"/>
    <w:rsid w:val="002845C2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B5199"/>
    <w:rsid w:val="003C1D0B"/>
    <w:rsid w:val="003F4E8D"/>
    <w:rsid w:val="00416E44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71629B"/>
    <w:rsid w:val="007164C7"/>
    <w:rsid w:val="00743628"/>
    <w:rsid w:val="0074768D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A7508"/>
    <w:rsid w:val="009C6EA3"/>
    <w:rsid w:val="009D1B05"/>
    <w:rsid w:val="009F04D0"/>
    <w:rsid w:val="009F78A7"/>
    <w:rsid w:val="009F7E66"/>
    <w:rsid w:val="00A11BD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36D72"/>
    <w:rsid w:val="00C86C48"/>
    <w:rsid w:val="00C9758A"/>
    <w:rsid w:val="00CA2D3E"/>
    <w:rsid w:val="00CA4C08"/>
    <w:rsid w:val="00CC28BC"/>
    <w:rsid w:val="00CD7069"/>
    <w:rsid w:val="00CF50BA"/>
    <w:rsid w:val="00D1777E"/>
    <w:rsid w:val="00D63CD3"/>
    <w:rsid w:val="00DB7651"/>
    <w:rsid w:val="00DE660A"/>
    <w:rsid w:val="00E1692C"/>
    <w:rsid w:val="00E43145"/>
    <w:rsid w:val="00EB6678"/>
    <w:rsid w:val="00EC0065"/>
    <w:rsid w:val="00EF333D"/>
    <w:rsid w:val="00F05C01"/>
    <w:rsid w:val="00F069C3"/>
    <w:rsid w:val="00F06C5E"/>
    <w:rsid w:val="00F20443"/>
    <w:rsid w:val="00F63191"/>
    <w:rsid w:val="00F64CD1"/>
    <w:rsid w:val="00F927B0"/>
    <w:rsid w:val="00FB3FFF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styleId="NormalWeb">
    <w:name w:val="Normal (Web)"/>
    <w:basedOn w:val="Normal"/>
    <w:uiPriority w:val="99"/>
    <w:semiHidden/>
    <w:unhideWhenUsed/>
    <w:rsid w:val="00FB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styleId="NormalWeb">
    <w:name w:val="Normal (Web)"/>
    <w:basedOn w:val="Normal"/>
    <w:uiPriority w:val="99"/>
    <w:semiHidden/>
    <w:unhideWhenUsed/>
    <w:rsid w:val="00FB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046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B7082-2BBA-4CF7-9E9D-5AFA6457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2014-09-25T19:23:00Z</dcterms:created>
  <dcterms:modified xsi:type="dcterms:W3CDTF">2014-09-25T19:23:00Z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