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7C64DD">
        <w:t>8.2</w:t>
      </w:r>
      <w:r w:rsidR="00435349">
        <w:t>4</w:t>
      </w:r>
      <w:r w:rsidR="007C64DD">
        <w:t>: Adolescent Well-Care Visits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D06222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8779F5" w:rsidRDefault="000523B1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IT-8.24 </w:t>
            </w:r>
            <w:r w:rsidR="00E571E0">
              <w:rPr>
                <w:b/>
              </w:rPr>
              <w:t>Adolescent Well-Care Visits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0F781A" w:rsidRDefault="007D3165" w:rsidP="000F781A">
            <w:pPr>
              <w:pStyle w:val="NoSpacing"/>
            </w:pPr>
            <w:r>
              <w:t>T</w:t>
            </w:r>
            <w:r w:rsidR="000F781A">
              <w:t>he percentage of patients 12 through 21 years of age who had at least one comprehensive well-care visit with a primary care practitioner (PCP) or an obstetrics and gynecology (OB/GYN) practitioner during the measurement year.</w:t>
            </w:r>
          </w:p>
          <w:p w:rsidR="000F781A" w:rsidRDefault="000F781A" w:rsidP="000F781A">
            <w:pPr>
              <w:pStyle w:val="NoSpacing"/>
            </w:pPr>
          </w:p>
          <w:p w:rsidR="00AD706B" w:rsidRDefault="000F781A" w:rsidP="00435349">
            <w:pPr>
              <w:pStyle w:val="NoSpacing"/>
            </w:pPr>
            <w:r>
              <w:t>Note: This measure is based on the Centers for Medicare &amp; Medicaid Services (CMS) and American Academy of Pediatrics (AAP) guidelines for Early and Periodic Screening, Diagnostic, and Treatment (EPSDT) visits.</w:t>
            </w: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9D1779" w:rsidP="00B05CBF">
            <w:pPr>
              <w:pStyle w:val="NoSpacing"/>
            </w:pPr>
            <w:r>
              <w:t>N/A</w:t>
            </w: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9D1779" w:rsidP="009D1779">
            <w:pPr>
              <w:pStyle w:val="NoSpacing"/>
            </w:pPr>
            <w:r>
              <w:t>National Committee for Quality Assurance</w:t>
            </w:r>
          </w:p>
        </w:tc>
      </w:tr>
      <w:tr w:rsidR="00AD706B" w:rsidTr="00D06222">
        <w:tc>
          <w:tcPr>
            <w:tcW w:w="2718" w:type="dxa"/>
          </w:tcPr>
          <w:p w:rsidR="00AD706B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E571E0" w:rsidRDefault="00153902" w:rsidP="00561D6D">
            <w:pPr>
              <w:pStyle w:val="NoSpacing"/>
            </w:pPr>
            <w:r w:rsidRPr="00153902">
              <w:t>http://www.qualitymeasures.ahrq.gov/content.aspx?id=47268</w:t>
            </w:r>
            <w:r w:rsidR="00E571E0">
              <w:t xml:space="preserve"> </w:t>
            </w:r>
          </w:p>
        </w:tc>
      </w:tr>
      <w:tr w:rsidR="00AD706B" w:rsidTr="00D06222">
        <w:tc>
          <w:tcPr>
            <w:tcW w:w="2718" w:type="dxa"/>
          </w:tcPr>
          <w:p w:rsidR="00AD706B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AD706B" w:rsidRDefault="00165D76" w:rsidP="007E7677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7D3165" w:rsidTr="00D06222">
        <w:tc>
          <w:tcPr>
            <w:tcW w:w="2718" w:type="dxa"/>
          </w:tcPr>
          <w:p w:rsidR="007D3165" w:rsidRDefault="007D3165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:rsidR="007D3165" w:rsidRDefault="007D3165" w:rsidP="00A157F4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7D3165" w:rsidTr="00A157F4">
              <w:tc>
                <w:tcPr>
                  <w:tcW w:w="1880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:rsidR="007D3165" w:rsidRPr="00791AAE" w:rsidRDefault="007D3165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:rsidR="007D3165" w:rsidRPr="00791AAE" w:rsidRDefault="007D3165" w:rsidP="00A157F4">
                  <w:pPr>
                    <w:pStyle w:val="NoSpacing"/>
                    <w:jc w:val="center"/>
                  </w:pPr>
                </w:p>
              </w:tc>
            </w:tr>
            <w:tr w:rsidR="007D3165" w:rsidTr="00A157F4">
              <w:tc>
                <w:tcPr>
                  <w:tcW w:w="1880" w:type="dxa"/>
                  <w:vMerge w:val="restart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:rsidR="007D3165" w:rsidRPr="00791AAE" w:rsidRDefault="007D3165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7D3165" w:rsidRDefault="007D3165" w:rsidP="00A157F4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7D3165" w:rsidTr="00A157F4">
              <w:tc>
                <w:tcPr>
                  <w:tcW w:w="1880" w:type="dxa"/>
                  <w:vMerge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7D3165" w:rsidRDefault="007D3165" w:rsidP="00A157F4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:rsidR="007D3165" w:rsidRDefault="007D3165" w:rsidP="00967948">
            <w:pPr>
              <w:pStyle w:val="NoSpacing"/>
            </w:pPr>
          </w:p>
        </w:tc>
      </w:tr>
      <w:tr w:rsidR="007D3165" w:rsidTr="00153902">
        <w:tc>
          <w:tcPr>
            <w:tcW w:w="2718" w:type="dxa"/>
          </w:tcPr>
          <w:p w:rsidR="007D3165" w:rsidRDefault="007D3165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7D3165" w:rsidTr="00A157F4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:rsidR="007D3165" w:rsidRPr="00791AAE" w:rsidRDefault="007D3165" w:rsidP="007D3165">
                  <w:pPr>
                    <w:pStyle w:val="NoSpacing"/>
                    <w:jc w:val="center"/>
                  </w:pPr>
                  <w:r w:rsidRPr="00E3780B">
                    <w:t>NCQA</w:t>
                  </w:r>
                  <w:r>
                    <w:t xml:space="preserve"> Quality Compass</w:t>
                  </w:r>
                </w:p>
              </w:tc>
            </w:tr>
            <w:tr w:rsidR="007D3165" w:rsidTr="00A157F4">
              <w:tc>
                <w:tcPr>
                  <w:tcW w:w="3397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64.33%</w:t>
                  </w:r>
                </w:p>
              </w:tc>
            </w:tr>
            <w:tr w:rsidR="007D3165" w:rsidTr="00A157F4">
              <w:tc>
                <w:tcPr>
                  <w:tcW w:w="3397" w:type="dxa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:rsidR="007D3165" w:rsidRPr="00791AAE" w:rsidRDefault="007D3165" w:rsidP="00A157F4">
                  <w:pPr>
                    <w:pStyle w:val="NoSpacing"/>
                    <w:jc w:val="center"/>
                  </w:pPr>
                  <w:r>
                    <w:t>42.09%</w:t>
                  </w:r>
                </w:p>
              </w:tc>
            </w:tr>
          </w:tbl>
          <w:p w:rsidR="007D3165" w:rsidRDefault="007D3165" w:rsidP="00967948">
            <w:pPr>
              <w:pStyle w:val="NoSpacing"/>
            </w:pP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:rsidR="003546DD" w:rsidRDefault="009F78A7" w:rsidP="003546DD">
            <w:pPr>
              <w:pStyle w:val="NoSpacing"/>
              <w:numPr>
                <w:ilvl w:val="0"/>
                <w:numId w:val="9"/>
              </w:numPr>
            </w:pPr>
            <w:r w:rsidRPr="00C619EF">
              <w:t>Replac</w:t>
            </w:r>
            <w:r>
              <w:t>ed term "member" with "patient"</w:t>
            </w:r>
            <w:r w:rsidRPr="00C619EF">
              <w:t xml:space="preserve"> </w:t>
            </w:r>
          </w:p>
          <w:p w:rsidR="003546DD" w:rsidRDefault="003546DD" w:rsidP="003546DD">
            <w:pPr>
              <w:pStyle w:val="NoSpacing"/>
              <w:numPr>
                <w:ilvl w:val="0"/>
                <w:numId w:val="9"/>
              </w:numPr>
            </w:pPr>
            <w:r>
              <w:t>Replaced enrollment requirement with outpatient visit requirement.</w:t>
            </w:r>
          </w:p>
          <w:p w:rsidR="009F78A7" w:rsidRDefault="00373A37" w:rsidP="009F78A7">
            <w:pPr>
              <w:pStyle w:val="NoSpacing"/>
              <w:numPr>
                <w:ilvl w:val="0"/>
                <w:numId w:val="9"/>
              </w:numPr>
            </w:pPr>
            <w:r>
              <w:t>Replaced “December 31 of the measurement year” with “the end of the measurement year.”</w:t>
            </w: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AD706B" w:rsidRPr="00373A37" w:rsidRDefault="007D3165" w:rsidP="007D3165">
            <w:pPr>
              <w:pStyle w:val="NoSpacing"/>
            </w:pPr>
            <w:r>
              <w:t>Patients</w:t>
            </w:r>
            <w:r w:rsidRPr="00373A37">
              <w:t xml:space="preserve"> </w:t>
            </w:r>
            <w:r w:rsidR="00373A37" w:rsidRPr="00373A37">
              <w:t xml:space="preserve">age 12 to 21 years as of </w:t>
            </w:r>
            <w:r w:rsidR="00373A37">
              <w:t xml:space="preserve">the end </w:t>
            </w:r>
            <w:r w:rsidR="00373A37" w:rsidRPr="00373A37">
              <w:t>of the measurement year</w:t>
            </w:r>
            <w:r w:rsidR="00373A37">
              <w:t>.</w:t>
            </w:r>
          </w:p>
        </w:tc>
      </w:tr>
      <w:tr w:rsidR="00787D45" w:rsidTr="00D06222">
        <w:trPr>
          <w:trHeight w:val="728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787D45" w:rsidRPr="0012650D" w:rsidRDefault="00BA4715" w:rsidP="00323673">
            <w:pPr>
              <w:pStyle w:val="NoSpacing"/>
              <w:rPr>
                <w:b/>
              </w:rPr>
            </w:pPr>
            <w:r>
              <w:t xml:space="preserve">Patients must </w:t>
            </w:r>
            <w:r w:rsidR="003546DD">
              <w:t xml:space="preserve">have </w:t>
            </w:r>
            <w:r w:rsidR="003546DD" w:rsidRPr="003546DD">
              <w:t>had at least one (1) outpatient encounter in the prior 12-month period</w:t>
            </w:r>
          </w:p>
        </w:tc>
      </w:tr>
      <w:tr w:rsidR="00787D45" w:rsidTr="00D06222">
        <w:trPr>
          <w:trHeight w:val="710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787D45" w:rsidRPr="001D6BEA" w:rsidRDefault="000E16D5" w:rsidP="009D1779">
            <w:pPr>
              <w:pStyle w:val="NoSpacing"/>
            </w:pPr>
            <w:r>
              <w:t xml:space="preserve">The </w:t>
            </w:r>
            <w:r w:rsidR="00787D45">
              <w:t xml:space="preserve">Measure Steward does not identify specific denominator exclusions beyond what is described </w:t>
            </w:r>
            <w:r>
              <w:t>in the denominator description.</w:t>
            </w:r>
          </w:p>
        </w:tc>
      </w:tr>
      <w:tr w:rsidR="00D63CD3" w:rsidTr="00D06222">
        <w:tc>
          <w:tcPr>
            <w:tcW w:w="2718" w:type="dxa"/>
          </w:tcPr>
          <w:p w:rsidR="00D63CD3" w:rsidRDefault="00D63CD3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lastRenderedPageBreak/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D06222">
        <w:tc>
          <w:tcPr>
            <w:tcW w:w="2718" w:type="dxa"/>
          </w:tcPr>
          <w:p w:rsidR="00AC3A97" w:rsidRPr="00717546" w:rsidRDefault="00AC3A97" w:rsidP="009D177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AC3A97" w:rsidRPr="009F7E66" w:rsidRDefault="00BA4715" w:rsidP="007D3165">
            <w:pPr>
              <w:pStyle w:val="NoSpacing"/>
            </w:pPr>
            <w:r w:rsidRPr="00BA4715">
              <w:t xml:space="preserve">At least one comprehensive well-care </w:t>
            </w:r>
            <w:proofErr w:type="gramStart"/>
            <w:r w:rsidRPr="00BA4715">
              <w:t>visit</w:t>
            </w:r>
            <w:proofErr w:type="gramEnd"/>
            <w:r w:rsidRPr="00BA4715">
              <w:t xml:space="preserve"> with a primary care practitioner (PCP) or an obstetrics and gynecology (OB/GYN) practitioner during the measurement year.</w:t>
            </w:r>
          </w:p>
        </w:tc>
      </w:tr>
      <w:tr w:rsidR="00787D45" w:rsidTr="00D06222">
        <w:tc>
          <w:tcPr>
            <w:tcW w:w="2718" w:type="dxa"/>
          </w:tcPr>
          <w:p w:rsidR="00787D45" w:rsidRPr="00717546" w:rsidRDefault="00787D45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BF46C2" w:rsidRDefault="00BF46C2" w:rsidP="00BF46C2">
            <w:pPr>
              <w:pStyle w:val="NoSpacing"/>
            </w:pPr>
            <w:r>
              <w:t xml:space="preserve">The PCP does not have to be assigned to the </w:t>
            </w:r>
            <w:r w:rsidR="00435349">
              <w:t>patient</w:t>
            </w:r>
            <w:r>
              <w:t xml:space="preserve">. Adolescents who had a claim/encounter with a code listed in Table AWC-A </w:t>
            </w:r>
            <w:r w:rsidR="00435349">
              <w:t xml:space="preserve">(see specifications link above) </w:t>
            </w:r>
            <w:r>
              <w:t>in the original measure documentation are considered to have received a comprehensive well-care visit.</w:t>
            </w:r>
          </w:p>
          <w:p w:rsidR="00BF46C2" w:rsidRDefault="00BF46C2" w:rsidP="00BF46C2">
            <w:pPr>
              <w:pStyle w:val="NoSpacing"/>
            </w:pPr>
          </w:p>
          <w:p w:rsidR="00787D45" w:rsidRPr="0012650D" w:rsidRDefault="00BF46C2" w:rsidP="00BF46C2">
            <w:pPr>
              <w:pStyle w:val="NoSpacing"/>
              <w:rPr>
                <w:b/>
              </w:rPr>
            </w:pPr>
            <w:r>
              <w:t xml:space="preserve">PCP is defined as a physician or </w:t>
            </w:r>
            <w:proofErr w:type="spellStart"/>
            <w:r>
              <w:t>nonphysician</w:t>
            </w:r>
            <w:proofErr w:type="spellEnd"/>
            <w:r>
              <w:t xml:space="preserve"> (e.g., physician assistant, nurse practitioner) who offers primary care medical services. Licensed practical nurses and registered nurses are not considered PCPs.</w:t>
            </w:r>
          </w:p>
        </w:tc>
      </w:tr>
      <w:tr w:rsidR="00787D45" w:rsidTr="00D06222">
        <w:tc>
          <w:tcPr>
            <w:tcW w:w="2718" w:type="dxa"/>
          </w:tcPr>
          <w:p w:rsidR="00787D45" w:rsidRPr="00717546" w:rsidRDefault="00787D45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787D45" w:rsidRPr="001D6BEA" w:rsidRDefault="00BF46C2" w:rsidP="00BF46C2">
            <w:pPr>
              <w:pStyle w:val="NoSpacing"/>
            </w:pPr>
            <w:r>
              <w:t xml:space="preserve">The </w:t>
            </w:r>
            <w:r w:rsidR="00787D45">
              <w:t>Measure Steward does not identify specific numerator exclusions beyond what is described in the numerator description.</w:t>
            </w:r>
          </w:p>
        </w:tc>
      </w:tr>
      <w:tr w:rsidR="00AD706B" w:rsidTr="00D06222">
        <w:tc>
          <w:tcPr>
            <w:tcW w:w="2718" w:type="dxa"/>
          </w:tcPr>
          <w:p w:rsidR="00AD706B" w:rsidRPr="00717546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AD706B" w:rsidP="00BF46C2">
            <w:pPr>
              <w:pStyle w:val="NoSpacing"/>
            </w:pPr>
            <w:r>
              <w:t>Ambulatory</w:t>
            </w:r>
          </w:p>
        </w:tc>
      </w:tr>
      <w:tr w:rsidR="00AD706B" w:rsidTr="00D06222">
        <w:tc>
          <w:tcPr>
            <w:tcW w:w="2718" w:type="dxa"/>
          </w:tcPr>
          <w:p w:rsidR="00AD706B" w:rsidRDefault="00AD706B" w:rsidP="009D1779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AF3A3D" w:rsidP="00BF46C2">
            <w:pPr>
              <w:pStyle w:val="NoSpacing"/>
            </w:pPr>
            <w:r>
              <w:t>Administrative/</w:t>
            </w:r>
            <w:r w:rsidR="00BF46C2">
              <w:t>Clinical data sources</w:t>
            </w:r>
          </w:p>
        </w:tc>
      </w:tr>
      <w:tr w:rsidR="007D3165" w:rsidTr="00D06222">
        <w:tc>
          <w:tcPr>
            <w:tcW w:w="2718" w:type="dxa"/>
          </w:tcPr>
          <w:p w:rsidR="007D3165" w:rsidRPr="00717546" w:rsidRDefault="007D316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7D3165" w:rsidRDefault="007D3165" w:rsidP="00A157F4">
            <w:pPr>
              <w:pStyle w:val="NoSpacing"/>
            </w:pPr>
            <w:r>
              <w:t>All denominator subsets are permissible for this outcome</w:t>
            </w:r>
          </w:p>
          <w:p w:rsidR="007D3165" w:rsidRDefault="007D3165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 w:rsidSect="00B163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57" w:rsidRDefault="00635C57" w:rsidP="00F63191">
      <w:pPr>
        <w:spacing w:after="0" w:line="240" w:lineRule="auto"/>
      </w:pPr>
      <w:r>
        <w:separator/>
      </w:r>
    </w:p>
  </w:endnote>
  <w:endnote w:type="continuationSeparator" w:id="0">
    <w:p w:rsidR="00635C57" w:rsidRDefault="00635C5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8B" w:rsidRDefault="0059308B">
    <w:pPr>
      <w:pStyle w:val="Footer"/>
    </w:pPr>
    <w:r>
      <w:t>09/</w:t>
    </w:r>
    <w:r w:rsidR="00E26A5A">
      <w:t>2</w:t>
    </w:r>
    <w:r>
      <w:t>5/14</w:t>
    </w:r>
  </w:p>
  <w:p w:rsidR="005D3E0D" w:rsidRDefault="005D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57" w:rsidRDefault="00635C57" w:rsidP="00F63191">
      <w:pPr>
        <w:spacing w:after="0" w:line="240" w:lineRule="auto"/>
      </w:pPr>
      <w:r>
        <w:separator/>
      </w:r>
    </w:p>
  </w:footnote>
  <w:footnote w:type="continuationSeparator" w:id="0">
    <w:p w:rsidR="00635C57" w:rsidRDefault="00635C57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0D" w:rsidRDefault="005D3E0D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216EF"/>
    <w:rsid w:val="000523B1"/>
    <w:rsid w:val="0007252B"/>
    <w:rsid w:val="000C575F"/>
    <w:rsid w:val="000D1199"/>
    <w:rsid w:val="000D5A2D"/>
    <w:rsid w:val="000E16D5"/>
    <w:rsid w:val="000E7EED"/>
    <w:rsid w:val="000F781A"/>
    <w:rsid w:val="00100A2F"/>
    <w:rsid w:val="00107C1A"/>
    <w:rsid w:val="0011709A"/>
    <w:rsid w:val="00153902"/>
    <w:rsid w:val="00165D76"/>
    <w:rsid w:val="001D6BEA"/>
    <w:rsid w:val="002224F0"/>
    <w:rsid w:val="00245754"/>
    <w:rsid w:val="00271E53"/>
    <w:rsid w:val="002845C2"/>
    <w:rsid w:val="002E14AF"/>
    <w:rsid w:val="0032246B"/>
    <w:rsid w:val="00323673"/>
    <w:rsid w:val="00345BC9"/>
    <w:rsid w:val="00346B8D"/>
    <w:rsid w:val="003546DD"/>
    <w:rsid w:val="00356CF4"/>
    <w:rsid w:val="00366D0B"/>
    <w:rsid w:val="00373A37"/>
    <w:rsid w:val="00375652"/>
    <w:rsid w:val="00383516"/>
    <w:rsid w:val="003844DB"/>
    <w:rsid w:val="003A409E"/>
    <w:rsid w:val="003F4E8D"/>
    <w:rsid w:val="00416E44"/>
    <w:rsid w:val="00425A3C"/>
    <w:rsid w:val="00435349"/>
    <w:rsid w:val="00502BE4"/>
    <w:rsid w:val="00506BC5"/>
    <w:rsid w:val="00536799"/>
    <w:rsid w:val="00561D6D"/>
    <w:rsid w:val="0056739D"/>
    <w:rsid w:val="005802A0"/>
    <w:rsid w:val="005857E6"/>
    <w:rsid w:val="0059308B"/>
    <w:rsid w:val="005B79DD"/>
    <w:rsid w:val="005C70A1"/>
    <w:rsid w:val="005D3E0D"/>
    <w:rsid w:val="005F4D43"/>
    <w:rsid w:val="00635C57"/>
    <w:rsid w:val="006815F0"/>
    <w:rsid w:val="006C1A6E"/>
    <w:rsid w:val="007164C7"/>
    <w:rsid w:val="00743628"/>
    <w:rsid w:val="00760D27"/>
    <w:rsid w:val="00787D45"/>
    <w:rsid w:val="007C64DD"/>
    <w:rsid w:val="007C728B"/>
    <w:rsid w:val="007C7C85"/>
    <w:rsid w:val="007D3165"/>
    <w:rsid w:val="007E0395"/>
    <w:rsid w:val="007E7677"/>
    <w:rsid w:val="007F675B"/>
    <w:rsid w:val="007F7C07"/>
    <w:rsid w:val="00823868"/>
    <w:rsid w:val="00827557"/>
    <w:rsid w:val="008722BB"/>
    <w:rsid w:val="008747F4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D1779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1634C"/>
    <w:rsid w:val="00B20462"/>
    <w:rsid w:val="00B546CF"/>
    <w:rsid w:val="00B65D92"/>
    <w:rsid w:val="00B7257A"/>
    <w:rsid w:val="00BA4715"/>
    <w:rsid w:val="00BA61F1"/>
    <w:rsid w:val="00BC4643"/>
    <w:rsid w:val="00BF46C2"/>
    <w:rsid w:val="00C01E6F"/>
    <w:rsid w:val="00C86C48"/>
    <w:rsid w:val="00C9758A"/>
    <w:rsid w:val="00CA2D3E"/>
    <w:rsid w:val="00CA4C08"/>
    <w:rsid w:val="00CC28BC"/>
    <w:rsid w:val="00CD7069"/>
    <w:rsid w:val="00D06222"/>
    <w:rsid w:val="00D1777E"/>
    <w:rsid w:val="00D63CD3"/>
    <w:rsid w:val="00DB7651"/>
    <w:rsid w:val="00DE660A"/>
    <w:rsid w:val="00E26A5A"/>
    <w:rsid w:val="00E43145"/>
    <w:rsid w:val="00E571E0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2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2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928CF9-AF15-4570-9BFF-ABAEA64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2014-09-25T20:57:00Z</dcterms:created>
  <dcterms:modified xsi:type="dcterms:W3CDTF">2014-09-25T20:57:00Z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