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AD706B" w:rsidP="00AD706B">
      <w:pPr>
        <w:pStyle w:val="Heading1"/>
      </w:pPr>
      <w:r>
        <w:t>IT-</w:t>
      </w:r>
      <w:r w:rsidR="00074450">
        <w:t>8.</w:t>
      </w:r>
      <w:r w:rsidR="00335303">
        <w:t xml:space="preserve">23 </w:t>
      </w:r>
      <w:r w:rsidR="00074450">
        <w:t xml:space="preserve">- </w:t>
      </w:r>
      <w:r w:rsidR="00074450" w:rsidRPr="00074450">
        <w:t>Children and Adolescents’ Access to Primary Care Practitioners (CAP)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Tr="008230D0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074450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Pr="002D2DC2" w:rsidRDefault="000451B3" w:rsidP="002D2D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IT-8.23 </w:t>
            </w:r>
            <w:r w:rsidR="002D2DC2" w:rsidRPr="002D2DC2">
              <w:rPr>
                <w:b/>
              </w:rPr>
              <w:t>Children and adolescents' access to p</w:t>
            </w:r>
            <w:r w:rsidR="002D2DC2">
              <w:rPr>
                <w:b/>
              </w:rPr>
              <w:t>rimary care practitioners (PCP)</w:t>
            </w:r>
          </w:p>
        </w:tc>
      </w:tr>
      <w:tr w:rsidR="00AD706B" w:rsidTr="008230D0">
        <w:tc>
          <w:tcPr>
            <w:tcW w:w="2718" w:type="dxa"/>
          </w:tcPr>
          <w:p w:rsidR="00AD706B" w:rsidRPr="00717546" w:rsidRDefault="00AD706B" w:rsidP="00074450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2D2DC2" w:rsidRDefault="00914AC0" w:rsidP="002D2DC2">
            <w:pPr>
              <w:pStyle w:val="NoSpacing"/>
            </w:pPr>
            <w:r>
              <w:t>T</w:t>
            </w:r>
            <w:r w:rsidR="002D2DC2">
              <w:t xml:space="preserve">he percentage of </w:t>
            </w:r>
            <w:r>
              <w:t xml:space="preserve">children </w:t>
            </w:r>
            <w:r w:rsidR="002D2DC2">
              <w:t>12 months to 24 months, 25 months to 6 years, 7 years to 11 years and 12 years to 19 years of age who had a visit with a primary care practitioner (PCP)</w:t>
            </w:r>
            <w:r>
              <w:t>The measure is reported as four rates</w:t>
            </w:r>
            <w:r w:rsidR="002D2DC2">
              <w:t xml:space="preserve"> :</w:t>
            </w:r>
          </w:p>
          <w:p w:rsidR="002D2DC2" w:rsidRDefault="002D2DC2" w:rsidP="002D2DC2">
            <w:pPr>
              <w:pStyle w:val="NoSpacing"/>
            </w:pPr>
          </w:p>
          <w:p w:rsidR="00914AC0" w:rsidRDefault="00914AC0" w:rsidP="008230D0">
            <w:pPr>
              <w:pStyle w:val="NoSpacing"/>
            </w:pPr>
            <w:r>
              <w:t xml:space="preserve">Rate #1: </w:t>
            </w:r>
            <w:r w:rsidR="002D2DC2">
              <w:t xml:space="preserve">Children 12 months to 24 months </w:t>
            </w:r>
            <w:r>
              <w:t xml:space="preserve">who had a visit with a PCP during the measurement year </w:t>
            </w:r>
          </w:p>
          <w:p w:rsidR="002D2DC2" w:rsidRDefault="00914AC0" w:rsidP="008230D0">
            <w:pPr>
              <w:pStyle w:val="NoSpacing"/>
            </w:pPr>
            <w:r>
              <w:t xml:space="preserve">Rate #2: Children </w:t>
            </w:r>
            <w:r w:rsidR="002D2DC2">
              <w:t>25 months to 6 years who had a visit with a PCP during the measurement year</w:t>
            </w:r>
          </w:p>
          <w:p w:rsidR="00914AC0" w:rsidRDefault="00914AC0" w:rsidP="008230D0">
            <w:pPr>
              <w:pStyle w:val="NoSpacing"/>
            </w:pPr>
            <w:r>
              <w:t>Rate #3: Children 7 years to 11 years who had a visit with a PCP during the measurement year or the year prior to the measurement year</w:t>
            </w:r>
          </w:p>
          <w:p w:rsidR="00AD706B" w:rsidRDefault="00914AC0" w:rsidP="008230D0">
            <w:pPr>
              <w:pStyle w:val="NoSpacing"/>
            </w:pPr>
            <w:r>
              <w:t>Rate #4: A</w:t>
            </w:r>
            <w:r w:rsidR="002D2DC2">
              <w:t>dolescents 12 years to 19 years who had a visit with a PCP during the measurement year or the year prior to the measurement year</w:t>
            </w:r>
          </w:p>
        </w:tc>
      </w:tr>
      <w:tr w:rsidR="00AD706B" w:rsidTr="008230D0">
        <w:tc>
          <w:tcPr>
            <w:tcW w:w="2718" w:type="dxa"/>
          </w:tcPr>
          <w:p w:rsidR="00AD706B" w:rsidRPr="00717546" w:rsidRDefault="00AD706B" w:rsidP="00074450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100A2F" w:rsidP="008B0CBB">
            <w:pPr>
              <w:pStyle w:val="NoSpacing"/>
            </w:pPr>
            <w:r>
              <w:t>Not applic</w:t>
            </w:r>
            <w:r w:rsidR="008B0CBB">
              <w:t>able</w:t>
            </w:r>
          </w:p>
        </w:tc>
      </w:tr>
      <w:tr w:rsidR="00AD706B" w:rsidTr="008230D0">
        <w:tc>
          <w:tcPr>
            <w:tcW w:w="2718" w:type="dxa"/>
          </w:tcPr>
          <w:p w:rsidR="00AD706B" w:rsidRPr="00717546" w:rsidRDefault="00AD706B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8714EB" w:rsidP="00074450">
            <w:pPr>
              <w:pStyle w:val="NoSpacing"/>
            </w:pPr>
            <w:r>
              <w:t>National Committee for Quality Assurance</w:t>
            </w:r>
          </w:p>
        </w:tc>
      </w:tr>
      <w:tr w:rsidR="00AD706B" w:rsidTr="008230D0">
        <w:tc>
          <w:tcPr>
            <w:tcW w:w="2718" w:type="dxa"/>
          </w:tcPr>
          <w:p w:rsidR="00AD706B" w:rsidRDefault="00AD706B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AD706B" w:rsidRPr="00FF2C93" w:rsidRDefault="00914AC0" w:rsidP="00074450">
            <w:pPr>
              <w:pStyle w:val="NoSpacing"/>
            </w:pPr>
            <w:r w:rsidRPr="00914AC0">
              <w:t>http://www.qualitymeasures.ahrq.gov/content.aspx?id=47229</w:t>
            </w:r>
          </w:p>
        </w:tc>
      </w:tr>
      <w:tr w:rsidR="00AD706B" w:rsidTr="008230D0">
        <w:tc>
          <w:tcPr>
            <w:tcW w:w="2718" w:type="dxa"/>
          </w:tcPr>
          <w:p w:rsidR="00AD706B" w:rsidRDefault="00AD706B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AD706B" w:rsidRDefault="00165D76" w:rsidP="00F55B44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914AC0" w:rsidTr="008230D0">
        <w:tc>
          <w:tcPr>
            <w:tcW w:w="2718" w:type="dxa"/>
          </w:tcPr>
          <w:p w:rsidR="00914AC0" w:rsidRDefault="00914AC0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:rsidR="00914AC0" w:rsidRDefault="00914AC0" w:rsidP="00A157F4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914AC0" w:rsidTr="00A157F4">
              <w:tc>
                <w:tcPr>
                  <w:tcW w:w="1880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:rsidR="00914AC0" w:rsidRPr="00791AAE" w:rsidRDefault="00914AC0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:rsidR="00914AC0" w:rsidRPr="00791AAE" w:rsidRDefault="00914AC0" w:rsidP="00A157F4">
                  <w:pPr>
                    <w:pStyle w:val="NoSpacing"/>
                    <w:jc w:val="center"/>
                  </w:pPr>
                </w:p>
              </w:tc>
            </w:tr>
            <w:tr w:rsidR="00914AC0" w:rsidTr="00A157F4">
              <w:tc>
                <w:tcPr>
                  <w:tcW w:w="1880" w:type="dxa"/>
                  <w:vMerge w:val="restart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:rsidR="00914AC0" w:rsidRPr="00791AAE" w:rsidRDefault="00914AC0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914AC0" w:rsidRDefault="00914AC0" w:rsidP="00A157F4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914AC0" w:rsidTr="00A157F4">
              <w:tc>
                <w:tcPr>
                  <w:tcW w:w="1880" w:type="dxa"/>
                  <w:vMerge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:rsidR="00914AC0" w:rsidRDefault="00914AC0" w:rsidP="00A157F4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:rsidR="00914AC0" w:rsidRDefault="00914AC0" w:rsidP="00F55B44">
            <w:pPr>
              <w:pStyle w:val="NoSpacing"/>
            </w:pPr>
          </w:p>
        </w:tc>
      </w:tr>
      <w:tr w:rsidR="00914AC0" w:rsidTr="00914AC0">
        <w:tc>
          <w:tcPr>
            <w:tcW w:w="2718" w:type="dxa"/>
          </w:tcPr>
          <w:p w:rsidR="00914AC0" w:rsidRDefault="00914AC0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85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914AC0" w:rsidTr="00A157F4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 w:rsidRPr="005D43F0">
                    <w:t>NCQA HEDIS State of Health Care Quality 2012</w:t>
                  </w:r>
                </w:p>
              </w:tc>
            </w:tr>
            <w:tr w:rsidR="00914AC0" w:rsidTr="00A157F4">
              <w:tc>
                <w:tcPr>
                  <w:tcW w:w="3397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:rsidR="00914AC0" w:rsidRDefault="00914AC0" w:rsidP="00A157F4">
                  <w:pPr>
                    <w:pStyle w:val="NoSpacing"/>
                    <w:jc w:val="center"/>
                  </w:pPr>
                  <w:r>
                    <w:t xml:space="preserve">12 - 24 months: </w:t>
                  </w:r>
                  <w:r w:rsidR="002E2B87">
                    <w:t>98.4</w:t>
                  </w:r>
                  <w:r>
                    <w:t>%</w:t>
                  </w:r>
                </w:p>
                <w:p w:rsidR="00914AC0" w:rsidRDefault="00914AC0" w:rsidP="00A157F4">
                  <w:pPr>
                    <w:pStyle w:val="NoSpacing"/>
                    <w:jc w:val="center"/>
                  </w:pPr>
                  <w:r>
                    <w:t xml:space="preserve">25 months - 6 years: </w:t>
                  </w:r>
                  <w:r w:rsidR="002E2B87">
                    <w:t>92.6</w:t>
                  </w:r>
                  <w:r>
                    <w:t>%</w:t>
                  </w:r>
                </w:p>
                <w:p w:rsidR="002E2B87" w:rsidRDefault="00914AC0">
                  <w:pPr>
                    <w:pStyle w:val="NoSpacing"/>
                    <w:jc w:val="center"/>
                  </w:pPr>
                  <w:r>
                    <w:t>7 - 11 years:</w:t>
                  </w:r>
                  <w:r w:rsidR="002E2B87">
                    <w:t xml:space="preserve"> 94.5%</w:t>
                  </w:r>
                </w:p>
                <w:p w:rsidR="00914AC0" w:rsidRPr="00791AAE" w:rsidRDefault="00914AC0" w:rsidP="00A157F4">
                  <w:pPr>
                    <w:pStyle w:val="NoSpacing"/>
                    <w:jc w:val="center"/>
                  </w:pPr>
                  <w:r>
                    <w:t xml:space="preserve">12 - 19 years: </w:t>
                  </w:r>
                  <w:r w:rsidR="002E2B87">
                    <w:t>93.0%</w:t>
                  </w:r>
                </w:p>
              </w:tc>
            </w:tr>
            <w:tr w:rsidR="00914AC0" w:rsidTr="00A157F4">
              <w:tc>
                <w:tcPr>
                  <w:tcW w:w="3397" w:type="dxa"/>
                </w:tcPr>
                <w:p w:rsidR="00914AC0" w:rsidRPr="00791AAE" w:rsidRDefault="00914AC0" w:rsidP="00A157F4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:rsidR="002E2B87" w:rsidRDefault="002E2B87" w:rsidP="002E2B87">
                  <w:pPr>
                    <w:pStyle w:val="NoSpacing"/>
                    <w:jc w:val="center"/>
                  </w:pPr>
                  <w:r>
                    <w:t>12 - 24 months: 93.1%</w:t>
                  </w:r>
                </w:p>
                <w:p w:rsidR="002E2B87" w:rsidRDefault="002E2B87" w:rsidP="002E2B87">
                  <w:pPr>
                    <w:pStyle w:val="NoSpacing"/>
                    <w:jc w:val="center"/>
                  </w:pPr>
                  <w:r>
                    <w:t>25 months - 6 years: 83.2%</w:t>
                  </w:r>
                </w:p>
                <w:p w:rsidR="002E2B87" w:rsidRDefault="002E2B87" w:rsidP="002E2B87">
                  <w:pPr>
                    <w:pStyle w:val="NoSpacing"/>
                    <w:jc w:val="center"/>
                  </w:pPr>
                  <w:r>
                    <w:t>7 - 11 years: 83.4%</w:t>
                  </w:r>
                </w:p>
                <w:p w:rsidR="00914AC0" w:rsidRPr="00791AAE" w:rsidRDefault="002E2B87">
                  <w:pPr>
                    <w:pStyle w:val="NoSpacing"/>
                    <w:jc w:val="center"/>
                  </w:pPr>
                  <w:r>
                    <w:t>12 - 19 years: 81.8%</w:t>
                  </w:r>
                </w:p>
              </w:tc>
            </w:tr>
          </w:tbl>
          <w:p w:rsidR="00914AC0" w:rsidRDefault="00914AC0" w:rsidP="00F55B44">
            <w:pPr>
              <w:pStyle w:val="NoSpacing"/>
            </w:pPr>
          </w:p>
        </w:tc>
      </w:tr>
      <w:tr w:rsidR="00AD706B" w:rsidTr="008230D0">
        <w:tc>
          <w:tcPr>
            <w:tcW w:w="2718" w:type="dxa"/>
          </w:tcPr>
          <w:p w:rsidR="00AD706B" w:rsidRPr="00717546" w:rsidRDefault="00AD706B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9F78A7" w:rsidRDefault="009F78A7" w:rsidP="009F78A7">
            <w:pPr>
              <w:pStyle w:val="NoSpacing"/>
            </w:pPr>
            <w:r>
              <w:t>The Measure Steward’s specification has been modified as follows:</w:t>
            </w:r>
          </w:p>
          <w:p w:rsidR="001738DC" w:rsidRDefault="009F78A7" w:rsidP="009F78A7">
            <w:pPr>
              <w:pStyle w:val="NoSpacing"/>
              <w:numPr>
                <w:ilvl w:val="0"/>
                <w:numId w:val="9"/>
              </w:numPr>
            </w:pPr>
            <w:r w:rsidRPr="00C619EF">
              <w:t>Replac</w:t>
            </w:r>
            <w:r>
              <w:t>ed term "member" with "patient</w:t>
            </w:r>
            <w:r w:rsidR="006A1046">
              <w:t>.</w:t>
            </w:r>
            <w:r>
              <w:t>"</w:t>
            </w:r>
            <w:r w:rsidRPr="00C619EF">
              <w:t xml:space="preserve"> </w:t>
            </w:r>
          </w:p>
          <w:p w:rsidR="006A1046" w:rsidRDefault="006A1046" w:rsidP="006A1046">
            <w:pPr>
              <w:pStyle w:val="NoSpacing"/>
              <w:numPr>
                <w:ilvl w:val="0"/>
                <w:numId w:val="9"/>
              </w:numPr>
            </w:pPr>
            <w:r>
              <w:t>Replaced references to enrollment requirements with patient visit requirement.</w:t>
            </w:r>
          </w:p>
          <w:p w:rsidR="009F78A7" w:rsidRDefault="001738DC" w:rsidP="009F78A7">
            <w:pPr>
              <w:pStyle w:val="NoSpacing"/>
              <w:numPr>
                <w:ilvl w:val="0"/>
                <w:numId w:val="9"/>
              </w:numPr>
            </w:pPr>
            <w:r>
              <w:t>Replaced reference to “December 31</w:t>
            </w:r>
            <w:r w:rsidRPr="001738DC">
              <w:rPr>
                <w:vertAlign w:val="superscript"/>
              </w:rPr>
              <w:t>st</w:t>
            </w:r>
            <w:r>
              <w:t xml:space="preserve"> of the measurement year” </w:t>
            </w:r>
            <w:r>
              <w:lastRenderedPageBreak/>
              <w:t xml:space="preserve">with “the end of the measurement year” </w:t>
            </w:r>
            <w:r w:rsidR="005F6BC5">
              <w:t>to make applicable for measurement years that do not align with calendar years.</w:t>
            </w:r>
          </w:p>
        </w:tc>
      </w:tr>
      <w:tr w:rsidR="00AD706B" w:rsidTr="008230D0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lastRenderedPageBreak/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:rsidR="00AD706B" w:rsidRDefault="002E2B87">
            <w:pPr>
              <w:pStyle w:val="NoSpacing"/>
            </w:pPr>
            <w:r>
              <w:t>Children</w:t>
            </w:r>
            <w:r w:rsidRPr="008B08CF">
              <w:t xml:space="preserve"> </w:t>
            </w:r>
            <w:r w:rsidR="008B08CF" w:rsidRPr="008B08CF">
              <w:t xml:space="preserve">who are 12 months to 24 months, 25 months to 6 years, 7 years to 11 years and 12 years to 19 years of age as of </w:t>
            </w:r>
            <w:r w:rsidR="001738DC">
              <w:t>the end</w:t>
            </w:r>
            <w:r w:rsidR="008B08CF" w:rsidRPr="008B08CF">
              <w:t xml:space="preserve"> of the measurement year </w:t>
            </w:r>
          </w:p>
          <w:p w:rsidR="00AD4D99" w:rsidRDefault="00AD4D99">
            <w:pPr>
              <w:pStyle w:val="NoSpacing"/>
            </w:pPr>
          </w:p>
          <w:p w:rsidR="00AD4D99" w:rsidRDefault="00AD4D99" w:rsidP="00AD4D99">
            <w:pPr>
              <w:pStyle w:val="NoSpacing"/>
            </w:pPr>
            <w:r>
              <w:t>Rate #1: Number of children 12-24 months during the measurement year</w:t>
            </w:r>
          </w:p>
          <w:p w:rsidR="00AD4D99" w:rsidRDefault="00AD4D99" w:rsidP="00AD4D99">
            <w:pPr>
              <w:pStyle w:val="NoSpacing"/>
            </w:pPr>
            <w:r>
              <w:t>Rat</w:t>
            </w:r>
            <w:bookmarkStart w:id="0" w:name="_GoBack"/>
            <w:bookmarkEnd w:id="0"/>
            <w:r>
              <w:t>e #2: Number of children 15 months - 6 years during the measurement year</w:t>
            </w:r>
            <w:r w:rsidDel="002E2B87">
              <w:t xml:space="preserve"> </w:t>
            </w:r>
          </w:p>
          <w:p w:rsidR="00AD4D99" w:rsidRDefault="00AD4D99" w:rsidP="00AD4D99">
            <w:pPr>
              <w:pStyle w:val="NoSpacing"/>
            </w:pPr>
            <w:r>
              <w:t>Rate #3: Number of children 7 - 11 years during the measurement year</w:t>
            </w:r>
          </w:p>
          <w:p w:rsidR="00AD4D99" w:rsidRPr="008B08CF" w:rsidRDefault="00AD4D99" w:rsidP="00AD4D99">
            <w:pPr>
              <w:pStyle w:val="NoSpacing"/>
            </w:pPr>
            <w:r>
              <w:t>Rate #4: Number of adolescents 12-19 years during the measurement year</w:t>
            </w:r>
          </w:p>
        </w:tc>
      </w:tr>
      <w:tr w:rsidR="00B05CBF" w:rsidTr="008230D0">
        <w:trPr>
          <w:trHeight w:val="728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B05CBF" w:rsidRPr="0012650D" w:rsidRDefault="00AD4D99" w:rsidP="00AD4D99">
            <w:pPr>
              <w:pStyle w:val="NoSpacing"/>
              <w:rPr>
                <w:b/>
              </w:rPr>
            </w:pPr>
            <w:r>
              <w:t xml:space="preserve"> </w:t>
            </w:r>
            <w:r>
              <w:t xml:space="preserve">The Measure Steward does not identify specific denominator </w:t>
            </w:r>
            <w:r>
              <w:t>in</w:t>
            </w:r>
            <w:r>
              <w:t>clusions beyond what is described in the denominator description.</w:t>
            </w:r>
          </w:p>
        </w:tc>
      </w:tr>
      <w:tr w:rsidR="00B05CBF" w:rsidTr="008230D0">
        <w:trPr>
          <w:trHeight w:val="710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B05CBF" w:rsidRPr="001D6BEA" w:rsidRDefault="009F04D0" w:rsidP="002E14AF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 w:rsidTr="008230D0">
        <w:tc>
          <w:tcPr>
            <w:tcW w:w="2718" w:type="dxa"/>
          </w:tcPr>
          <w:p w:rsidR="00D63CD3" w:rsidRDefault="00D63CD3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1738DC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1738DC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8230D0">
        <w:tc>
          <w:tcPr>
            <w:tcW w:w="2718" w:type="dxa"/>
          </w:tcPr>
          <w:p w:rsidR="00AC3A97" w:rsidRPr="00717546" w:rsidRDefault="00AC3A97" w:rsidP="0007445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:rsidR="002E2B87" w:rsidRDefault="002E2B87" w:rsidP="002E2B87">
            <w:pPr>
              <w:pStyle w:val="NoSpacing"/>
            </w:pPr>
            <w:r>
              <w:t>Rate #1: Number of children 12-24 months who had one or more visits with a primary care practitioner (PCP) during the measurement year</w:t>
            </w:r>
          </w:p>
          <w:p w:rsidR="002E2B87" w:rsidRDefault="002E2B87" w:rsidP="002E2B87">
            <w:pPr>
              <w:pStyle w:val="NoSpacing"/>
            </w:pPr>
          </w:p>
          <w:p w:rsidR="002E2B87" w:rsidRDefault="002E2B87" w:rsidP="002E2B87">
            <w:pPr>
              <w:pStyle w:val="NoSpacing"/>
            </w:pPr>
            <w:r>
              <w:t xml:space="preserve">Rate #2: Number of children 15 months - 6 years who had one or more visits with a primary care practitioner (PCP) during the measurement year </w:t>
            </w:r>
          </w:p>
          <w:p w:rsidR="002E2B87" w:rsidRDefault="002E2B87" w:rsidP="002E2B87">
            <w:pPr>
              <w:pStyle w:val="NoSpacing"/>
            </w:pPr>
          </w:p>
          <w:p w:rsidR="002E2B87" w:rsidRDefault="002E2B87" w:rsidP="002E2B87">
            <w:pPr>
              <w:pStyle w:val="NoSpacing"/>
            </w:pPr>
            <w:r>
              <w:t>Rate #3: Number of children 7 - 11 years who had one or more visits with a PCP during the measurement year or the year prior to the measurement year</w:t>
            </w:r>
          </w:p>
          <w:p w:rsidR="002E2B87" w:rsidRDefault="002E2B87" w:rsidP="002E2B87">
            <w:pPr>
              <w:pStyle w:val="NoSpacing"/>
            </w:pPr>
          </w:p>
          <w:p w:rsidR="00AC3A97" w:rsidRPr="009F7E66" w:rsidRDefault="002E2B87" w:rsidP="008B08CF">
            <w:pPr>
              <w:pStyle w:val="NoSpacing"/>
            </w:pPr>
            <w:r>
              <w:t xml:space="preserve">Rate #4: Number of adolescents 12-19 years who had one or more visits </w:t>
            </w:r>
            <w:r>
              <w:lastRenderedPageBreak/>
              <w:t xml:space="preserve">with a PCP during the measurement year or the year prior to the measurement year </w:t>
            </w:r>
          </w:p>
        </w:tc>
      </w:tr>
      <w:tr w:rsidR="00AC3A97" w:rsidTr="008230D0">
        <w:tc>
          <w:tcPr>
            <w:tcW w:w="2718" w:type="dxa"/>
          </w:tcPr>
          <w:p w:rsidR="00AC3A97" w:rsidRPr="00717546" w:rsidRDefault="00AC3A97" w:rsidP="00074450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Inclusions</w:t>
            </w:r>
          </w:p>
        </w:tc>
        <w:tc>
          <w:tcPr>
            <w:tcW w:w="6858" w:type="dxa"/>
          </w:tcPr>
          <w:p w:rsidR="00AC3A97" w:rsidRPr="0012650D" w:rsidRDefault="008E1E9A" w:rsidP="008E1E9A">
            <w:pPr>
              <w:pStyle w:val="NoSpacing"/>
              <w:rPr>
                <w:b/>
              </w:rPr>
            </w:pPr>
            <w:r>
              <w:t>Note: Count all patients who had an ambulatory or preventive care visit to any PCP, as defined by the organization, with a Current Procedure Terminology (CPT) or International Classification of Diseases, Ninth Revision, Clinical Modification (ICD-9-CM) code listed in Table CAP-A in the original measure documentation.</w:t>
            </w:r>
          </w:p>
        </w:tc>
      </w:tr>
      <w:tr w:rsidR="00AC3A97" w:rsidTr="008230D0">
        <w:tc>
          <w:tcPr>
            <w:tcW w:w="2718" w:type="dxa"/>
          </w:tcPr>
          <w:p w:rsidR="00AC3A97" w:rsidRPr="00717546" w:rsidRDefault="00AC3A97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AC3A97" w:rsidRPr="008E1E9A" w:rsidRDefault="008E1E9A" w:rsidP="002E14AF">
            <w:pPr>
              <w:pStyle w:val="NoSpacing"/>
            </w:pPr>
            <w:r w:rsidRPr="008E1E9A">
              <w:t>Exclude specialist visits.</w:t>
            </w:r>
          </w:p>
        </w:tc>
      </w:tr>
      <w:tr w:rsidR="00AD706B" w:rsidTr="008230D0">
        <w:tc>
          <w:tcPr>
            <w:tcW w:w="2718" w:type="dxa"/>
          </w:tcPr>
          <w:p w:rsidR="00AD706B" w:rsidRPr="00717546" w:rsidRDefault="00AD706B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AD706B" w:rsidP="003056F9">
            <w:pPr>
              <w:pStyle w:val="NoSpacing"/>
            </w:pPr>
            <w:r>
              <w:t>Ambulatory</w:t>
            </w:r>
          </w:p>
        </w:tc>
      </w:tr>
      <w:tr w:rsidR="00AD706B" w:rsidTr="008230D0">
        <w:tc>
          <w:tcPr>
            <w:tcW w:w="2718" w:type="dxa"/>
          </w:tcPr>
          <w:p w:rsidR="00AD706B" w:rsidRDefault="00AD706B" w:rsidP="00074450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AF3A3D" w:rsidP="00AF3A3D">
            <w:pPr>
              <w:pStyle w:val="NoSpacing"/>
            </w:pPr>
            <w:r>
              <w:t>Admin</w:t>
            </w:r>
            <w:r w:rsidR="008E1E9A">
              <w:t>istrative/Clinical data sources</w:t>
            </w:r>
          </w:p>
        </w:tc>
      </w:tr>
      <w:tr w:rsidR="002E2B87" w:rsidTr="008230D0">
        <w:tc>
          <w:tcPr>
            <w:tcW w:w="2718" w:type="dxa"/>
          </w:tcPr>
          <w:p w:rsidR="002E2B87" w:rsidRPr="00717546" w:rsidRDefault="002E2B87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2E2B87" w:rsidRDefault="002E2B87" w:rsidP="00A157F4">
            <w:pPr>
              <w:pStyle w:val="NoSpacing"/>
            </w:pPr>
            <w:r>
              <w:t>All denominator subsets are permissible for this outcome</w:t>
            </w:r>
          </w:p>
          <w:p w:rsidR="002E2B87" w:rsidRDefault="002E2B87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 w:rsidSect="00FA375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03" w:rsidRDefault="00472403" w:rsidP="00F63191">
      <w:pPr>
        <w:spacing w:after="0" w:line="240" w:lineRule="auto"/>
      </w:pPr>
      <w:r>
        <w:separator/>
      </w:r>
    </w:p>
  </w:endnote>
  <w:endnote w:type="continuationSeparator" w:id="0">
    <w:p w:rsidR="00472403" w:rsidRDefault="00472403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87" w:rsidRDefault="002E2B87">
    <w:pPr>
      <w:pStyle w:val="Footer"/>
    </w:pPr>
    <w:r>
      <w:t>09/</w:t>
    </w:r>
    <w:r w:rsidR="006A1D3D">
      <w:t>2</w:t>
    </w:r>
    <w:r>
      <w:t>5/14</w:t>
    </w:r>
  </w:p>
  <w:p w:rsidR="00E84900" w:rsidRDefault="00E84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03" w:rsidRDefault="00472403" w:rsidP="00F63191">
      <w:pPr>
        <w:spacing w:after="0" w:line="240" w:lineRule="auto"/>
      </w:pPr>
      <w:r>
        <w:separator/>
      </w:r>
    </w:p>
  </w:footnote>
  <w:footnote w:type="continuationSeparator" w:id="0">
    <w:p w:rsidR="00472403" w:rsidRDefault="00472403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00" w:rsidRDefault="00E84900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4C4F"/>
    <w:multiLevelType w:val="hybridMultilevel"/>
    <w:tmpl w:val="6D82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018BA"/>
    <w:rsid w:val="000451B3"/>
    <w:rsid w:val="00074450"/>
    <w:rsid w:val="000C575F"/>
    <w:rsid w:val="000D1199"/>
    <w:rsid w:val="000D5A2D"/>
    <w:rsid w:val="000E7EED"/>
    <w:rsid w:val="00100A2F"/>
    <w:rsid w:val="00107C1A"/>
    <w:rsid w:val="0011709A"/>
    <w:rsid w:val="00165D76"/>
    <w:rsid w:val="001738DC"/>
    <w:rsid w:val="001D6BEA"/>
    <w:rsid w:val="002224F0"/>
    <w:rsid w:val="00245754"/>
    <w:rsid w:val="00271E53"/>
    <w:rsid w:val="00276B6E"/>
    <w:rsid w:val="002845C2"/>
    <w:rsid w:val="002D2DC2"/>
    <w:rsid w:val="002E14AF"/>
    <w:rsid w:val="002E2B87"/>
    <w:rsid w:val="003056F9"/>
    <w:rsid w:val="0032246B"/>
    <w:rsid w:val="00335303"/>
    <w:rsid w:val="00346B8D"/>
    <w:rsid w:val="00356CF4"/>
    <w:rsid w:val="00366D0B"/>
    <w:rsid w:val="00375652"/>
    <w:rsid w:val="00383516"/>
    <w:rsid w:val="003844DB"/>
    <w:rsid w:val="003A409E"/>
    <w:rsid w:val="003E209E"/>
    <w:rsid w:val="003F4E8D"/>
    <w:rsid w:val="00416E44"/>
    <w:rsid w:val="00472403"/>
    <w:rsid w:val="00502BE4"/>
    <w:rsid w:val="00506BC5"/>
    <w:rsid w:val="00536799"/>
    <w:rsid w:val="005802A0"/>
    <w:rsid w:val="005857E6"/>
    <w:rsid w:val="005B79DD"/>
    <w:rsid w:val="005C70A1"/>
    <w:rsid w:val="005D43F0"/>
    <w:rsid w:val="005F4D43"/>
    <w:rsid w:val="005F6BC5"/>
    <w:rsid w:val="00625FCF"/>
    <w:rsid w:val="006A1046"/>
    <w:rsid w:val="006A1D3D"/>
    <w:rsid w:val="007164C7"/>
    <w:rsid w:val="00743628"/>
    <w:rsid w:val="00760D27"/>
    <w:rsid w:val="007C728B"/>
    <w:rsid w:val="007C7C85"/>
    <w:rsid w:val="007E0395"/>
    <w:rsid w:val="007F675B"/>
    <w:rsid w:val="007F7C07"/>
    <w:rsid w:val="008230D0"/>
    <w:rsid w:val="00823868"/>
    <w:rsid w:val="00827557"/>
    <w:rsid w:val="008714EB"/>
    <w:rsid w:val="008722BB"/>
    <w:rsid w:val="008779F5"/>
    <w:rsid w:val="0088642E"/>
    <w:rsid w:val="00886E0E"/>
    <w:rsid w:val="008A5405"/>
    <w:rsid w:val="008B08CF"/>
    <w:rsid w:val="008B0CBB"/>
    <w:rsid w:val="008D1A8E"/>
    <w:rsid w:val="008E1E9A"/>
    <w:rsid w:val="008E5828"/>
    <w:rsid w:val="008F0411"/>
    <w:rsid w:val="008F249E"/>
    <w:rsid w:val="00914AC0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93118"/>
    <w:rsid w:val="00AC3A97"/>
    <w:rsid w:val="00AD4D99"/>
    <w:rsid w:val="00AD706B"/>
    <w:rsid w:val="00AF3A3D"/>
    <w:rsid w:val="00B05CBF"/>
    <w:rsid w:val="00B20462"/>
    <w:rsid w:val="00B41E2B"/>
    <w:rsid w:val="00B546CF"/>
    <w:rsid w:val="00B65D92"/>
    <w:rsid w:val="00B96537"/>
    <w:rsid w:val="00BA61F1"/>
    <w:rsid w:val="00BC4643"/>
    <w:rsid w:val="00C01E6F"/>
    <w:rsid w:val="00C86C48"/>
    <w:rsid w:val="00C9758A"/>
    <w:rsid w:val="00CA2D3E"/>
    <w:rsid w:val="00CA4C08"/>
    <w:rsid w:val="00CC28BC"/>
    <w:rsid w:val="00CD7069"/>
    <w:rsid w:val="00D02B1A"/>
    <w:rsid w:val="00D1777E"/>
    <w:rsid w:val="00D63CD3"/>
    <w:rsid w:val="00D73FBB"/>
    <w:rsid w:val="00D80C1A"/>
    <w:rsid w:val="00DB7651"/>
    <w:rsid w:val="00DE660A"/>
    <w:rsid w:val="00E43145"/>
    <w:rsid w:val="00E84900"/>
    <w:rsid w:val="00EB6678"/>
    <w:rsid w:val="00EF333D"/>
    <w:rsid w:val="00F05C01"/>
    <w:rsid w:val="00F069C3"/>
    <w:rsid w:val="00F06C5E"/>
    <w:rsid w:val="00F20443"/>
    <w:rsid w:val="00F22E36"/>
    <w:rsid w:val="00F55B44"/>
    <w:rsid w:val="00F63191"/>
    <w:rsid w:val="00F64CD1"/>
    <w:rsid w:val="00F724A4"/>
    <w:rsid w:val="00F927B0"/>
    <w:rsid w:val="00FA375C"/>
    <w:rsid w:val="00FB6F37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F55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No Spacing" w:uiPriority="1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F55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9C5D-517A-484B-9D2F-B862DF81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520C6-81A6-45DD-BD5A-4CC9C77D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EDC9E-1CD9-4119-9350-88215E9F9DB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501C66-3128-4AF5-8B3F-4F051A71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2014-09-25T20:53:00Z</dcterms:created>
  <dcterms:modified xsi:type="dcterms:W3CDTF">2014-09-30T16:21:00Z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