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7246" w14:textId="4F7669EF" w:rsidR="00AD706B" w:rsidRDefault="00EB7647" w:rsidP="00AD706B">
      <w:pPr>
        <w:pStyle w:val="Heading1"/>
      </w:pPr>
      <w:r w:rsidRPr="00EB7647">
        <w:t>IT-8.2</w:t>
      </w:r>
      <w:r w:rsidR="004578CB">
        <w:t>1</w:t>
      </w:r>
      <w:r w:rsidRPr="00EB7647">
        <w:t>:  Well-Child Visits in the First 15 Months of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6949"/>
      </w:tblGrid>
      <w:tr w:rsidR="00AD706B" w14:paraId="223F7249" w14:textId="77777777" w:rsidTr="00AD0A11">
        <w:trPr>
          <w:tblHeader/>
        </w:trPr>
        <w:tc>
          <w:tcPr>
            <w:tcW w:w="2627" w:type="dxa"/>
            <w:shd w:val="clear" w:color="auto" w:fill="F2F2F2" w:themeFill="background1" w:themeFillShade="F2"/>
          </w:tcPr>
          <w:p w14:paraId="223F724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949" w:type="dxa"/>
            <w:shd w:val="clear" w:color="auto" w:fill="F2F2F2" w:themeFill="background1" w:themeFillShade="F2"/>
          </w:tcPr>
          <w:p w14:paraId="223F7248" w14:textId="5AB24019" w:rsidR="00AD706B" w:rsidRPr="008779F5" w:rsidRDefault="00AD0A11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IT-8.21 </w:t>
            </w:r>
            <w:r w:rsidR="00A15E2B" w:rsidRPr="00A15E2B">
              <w:rPr>
                <w:b/>
              </w:rPr>
              <w:t>Well-Child Visits in the First 15 Months of Life (W15)</w:t>
            </w:r>
          </w:p>
        </w:tc>
      </w:tr>
      <w:tr w:rsidR="00AD706B" w14:paraId="223F7253" w14:textId="77777777" w:rsidTr="00AD0A11">
        <w:tc>
          <w:tcPr>
            <w:tcW w:w="2627" w:type="dxa"/>
          </w:tcPr>
          <w:p w14:paraId="223F724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949" w:type="dxa"/>
          </w:tcPr>
          <w:p w14:paraId="223F7252" w14:textId="6CFF9421" w:rsidR="00AD706B" w:rsidRDefault="00A15E2B" w:rsidP="001C33B7">
            <w:pPr>
              <w:pStyle w:val="NoSpacing"/>
            </w:pPr>
            <w:r>
              <w:t xml:space="preserve">Percentage of patients who turned 15 months old during the measurement year and </w:t>
            </w:r>
            <w:r w:rsidR="004578CB">
              <w:t>six or more</w:t>
            </w:r>
            <w:r>
              <w:t xml:space="preserve"> well-child visits with a PCP during their first 15 months of life. </w:t>
            </w:r>
          </w:p>
        </w:tc>
      </w:tr>
      <w:tr w:rsidR="00AD706B" w14:paraId="223F7256" w14:textId="77777777" w:rsidTr="00AD0A11">
        <w:tc>
          <w:tcPr>
            <w:tcW w:w="2627" w:type="dxa"/>
          </w:tcPr>
          <w:p w14:paraId="223F725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949" w:type="dxa"/>
          </w:tcPr>
          <w:p w14:paraId="223F7255" w14:textId="77777777" w:rsidR="00AD706B" w:rsidRDefault="00DF3B02" w:rsidP="00B05CBF">
            <w:pPr>
              <w:pStyle w:val="NoSpacing"/>
            </w:pPr>
            <w:r>
              <w:t>1392</w:t>
            </w:r>
          </w:p>
        </w:tc>
      </w:tr>
      <w:tr w:rsidR="00AD706B" w14:paraId="223F7259" w14:textId="77777777" w:rsidTr="00AD0A11">
        <w:tc>
          <w:tcPr>
            <w:tcW w:w="2627" w:type="dxa"/>
          </w:tcPr>
          <w:p w14:paraId="223F725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949" w:type="dxa"/>
          </w:tcPr>
          <w:p w14:paraId="223F7258" w14:textId="77777777" w:rsidR="00AD706B" w:rsidRPr="00631E85" w:rsidRDefault="00DF3B02" w:rsidP="00A374B8">
            <w:pPr>
              <w:pStyle w:val="NoSpacing"/>
            </w:pPr>
            <w:r w:rsidRPr="00DF3B02">
              <w:t>National Committee for Quality Assurance</w:t>
            </w:r>
          </w:p>
        </w:tc>
      </w:tr>
      <w:tr w:rsidR="00AD706B" w14:paraId="223F725C" w14:textId="77777777" w:rsidTr="00AD0A11">
        <w:tc>
          <w:tcPr>
            <w:tcW w:w="2627" w:type="dxa"/>
          </w:tcPr>
          <w:p w14:paraId="223F725A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949" w:type="dxa"/>
          </w:tcPr>
          <w:p w14:paraId="223F725B" w14:textId="77777777" w:rsidR="00AD706B" w:rsidRPr="00631E85" w:rsidRDefault="00074701" w:rsidP="00561D6D">
            <w:pPr>
              <w:pStyle w:val="NoSpacing"/>
            </w:pPr>
            <w:hyperlink r:id="rId12" w:history="1">
              <w:r w:rsidR="00A15E2B" w:rsidRPr="00AB76B8">
                <w:rPr>
                  <w:rStyle w:val="Hyperlink"/>
                </w:rPr>
                <w:t>http://www.qualityforum.org/QPS/1392</w:t>
              </w:r>
            </w:hyperlink>
            <w:r w:rsidR="00A15E2B">
              <w:t xml:space="preserve"> </w:t>
            </w:r>
          </w:p>
        </w:tc>
      </w:tr>
      <w:tr w:rsidR="00AD706B" w14:paraId="223F725F" w14:textId="77777777" w:rsidTr="00AD0A11">
        <w:tc>
          <w:tcPr>
            <w:tcW w:w="2627" w:type="dxa"/>
          </w:tcPr>
          <w:p w14:paraId="223F725D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949" w:type="dxa"/>
          </w:tcPr>
          <w:p w14:paraId="223F725E" w14:textId="77777777" w:rsidR="00AD706B" w:rsidRDefault="00165D76" w:rsidP="00AD706B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824CF6" w14:paraId="223F7262" w14:textId="77777777" w:rsidTr="00AD0A11">
        <w:tc>
          <w:tcPr>
            <w:tcW w:w="2627" w:type="dxa"/>
          </w:tcPr>
          <w:p w14:paraId="223F7260" w14:textId="23E2A8B5" w:rsidR="00824CF6" w:rsidRDefault="00824CF6" w:rsidP="00074701">
            <w:pPr>
              <w:pStyle w:val="NoSpacing"/>
              <w:tabs>
                <w:tab w:val="right" w:pos="2502"/>
              </w:tabs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949" w:type="dxa"/>
          </w:tcPr>
          <w:p w14:paraId="7A35585E" w14:textId="77777777" w:rsidR="00824CF6" w:rsidRDefault="00824CF6" w:rsidP="0026171F">
            <w:pPr>
              <w:pStyle w:val="NoSpacing"/>
            </w:pPr>
            <w:r>
              <w:t>Pay for Performance (P4P) - QSMIC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0"/>
              <w:gridCol w:w="1060"/>
              <w:gridCol w:w="1846"/>
              <w:gridCol w:w="1846"/>
            </w:tblGrid>
            <w:tr w:rsidR="00824CF6" w14:paraId="0164CBE7" w14:textId="77777777" w:rsidTr="0026171F">
              <w:tc>
                <w:tcPr>
                  <w:tcW w:w="1880" w:type="dxa"/>
                </w:tcPr>
                <w:p w14:paraId="6B8BF998" w14:textId="77777777" w:rsidR="00824CF6" w:rsidRPr="00791AAE" w:rsidRDefault="00824CF6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73F32830" w14:textId="77777777" w:rsidR="00824CF6" w:rsidRPr="00791AAE" w:rsidRDefault="00824CF6" w:rsidP="0026171F">
                  <w:pPr>
                    <w:pStyle w:val="NoSpacing"/>
                    <w:jc w:val="center"/>
                  </w:pPr>
                  <w:r>
                    <w:t>Baseline</w:t>
                  </w:r>
                </w:p>
              </w:tc>
              <w:tc>
                <w:tcPr>
                  <w:tcW w:w="1846" w:type="dxa"/>
                </w:tcPr>
                <w:p w14:paraId="5259AFE6" w14:textId="77777777" w:rsidR="00824CF6" w:rsidRPr="00791AAE" w:rsidRDefault="00824CF6" w:rsidP="0026171F">
                  <w:pPr>
                    <w:pStyle w:val="NoSpacing"/>
                    <w:jc w:val="center"/>
                  </w:pPr>
                  <w:r w:rsidRPr="00791AAE">
                    <w:t>DY4</w:t>
                  </w:r>
                </w:p>
                <w:p w14:paraId="55BDEB23" w14:textId="77777777" w:rsidR="00824CF6" w:rsidRPr="00791AAE" w:rsidRDefault="00824CF6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846" w:type="dxa"/>
                </w:tcPr>
                <w:p w14:paraId="71F27CB9" w14:textId="77777777" w:rsidR="00824CF6" w:rsidRPr="00791AAE" w:rsidRDefault="00824CF6" w:rsidP="0026171F">
                  <w:pPr>
                    <w:pStyle w:val="NoSpacing"/>
                    <w:jc w:val="center"/>
                  </w:pPr>
                  <w:r w:rsidRPr="00791AAE">
                    <w:t>DY5</w:t>
                  </w:r>
                </w:p>
                <w:p w14:paraId="7EA7AB55" w14:textId="77777777" w:rsidR="00824CF6" w:rsidRPr="00791AAE" w:rsidRDefault="00824CF6" w:rsidP="0026171F">
                  <w:pPr>
                    <w:pStyle w:val="NoSpacing"/>
                    <w:jc w:val="center"/>
                  </w:pPr>
                </w:p>
              </w:tc>
            </w:tr>
            <w:tr w:rsidR="00824CF6" w14:paraId="46699A05" w14:textId="77777777" w:rsidTr="0026171F">
              <w:tc>
                <w:tcPr>
                  <w:tcW w:w="1880" w:type="dxa"/>
                  <w:vMerge w:val="restart"/>
                </w:tcPr>
                <w:p w14:paraId="12EEFF50" w14:textId="77777777" w:rsidR="00824CF6" w:rsidRPr="00791AAE" w:rsidRDefault="00824CF6" w:rsidP="0026171F">
                  <w:pPr>
                    <w:pStyle w:val="NoSpacing"/>
                    <w:jc w:val="center"/>
                  </w:pPr>
                  <w:r>
                    <w:t>Achievement Level Calculations</w:t>
                  </w:r>
                </w:p>
                <w:p w14:paraId="75C561D9" w14:textId="77777777" w:rsidR="00824CF6" w:rsidRPr="00791AAE" w:rsidRDefault="00824CF6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3047B99B" w14:textId="77777777" w:rsidR="00824CF6" w:rsidRDefault="00824CF6" w:rsidP="0026171F">
                  <w:pPr>
                    <w:pStyle w:val="NoSpacing"/>
                    <w:jc w:val="center"/>
                  </w:pPr>
                  <w:r>
                    <w:t>Baseline below MPL</w:t>
                  </w:r>
                </w:p>
              </w:tc>
              <w:tc>
                <w:tcPr>
                  <w:tcW w:w="1846" w:type="dxa"/>
                </w:tcPr>
                <w:p w14:paraId="4AA84374" w14:textId="77777777" w:rsidR="00824CF6" w:rsidRPr="00791AAE" w:rsidRDefault="00824CF6" w:rsidP="0026171F">
                  <w:pPr>
                    <w:pStyle w:val="NoSpacing"/>
                    <w:jc w:val="center"/>
                  </w:pPr>
                  <w:r w:rsidRPr="00F2515D">
                    <w:t>MPL</w:t>
                  </w:r>
                </w:p>
              </w:tc>
              <w:tc>
                <w:tcPr>
                  <w:tcW w:w="1846" w:type="dxa"/>
                </w:tcPr>
                <w:p w14:paraId="3430924E" w14:textId="77777777" w:rsidR="00824CF6" w:rsidRPr="00791AAE" w:rsidRDefault="00824CF6" w:rsidP="0026171F">
                  <w:pPr>
                    <w:pStyle w:val="NoSpacing"/>
                    <w:jc w:val="center"/>
                  </w:pPr>
                  <w:r w:rsidRPr="00F2515D">
                    <w:t>MPL + 10%* (HPL-MPL)</w:t>
                  </w:r>
                </w:p>
              </w:tc>
            </w:tr>
            <w:tr w:rsidR="00824CF6" w14:paraId="48A99171" w14:textId="77777777" w:rsidTr="0026171F">
              <w:tc>
                <w:tcPr>
                  <w:tcW w:w="1880" w:type="dxa"/>
                  <w:vMerge/>
                </w:tcPr>
                <w:p w14:paraId="5C4689EE" w14:textId="77777777" w:rsidR="00824CF6" w:rsidRPr="00791AAE" w:rsidRDefault="00824CF6" w:rsidP="0026171F">
                  <w:pPr>
                    <w:pStyle w:val="NoSpacing"/>
                    <w:jc w:val="center"/>
                  </w:pPr>
                </w:p>
              </w:tc>
              <w:tc>
                <w:tcPr>
                  <w:tcW w:w="1060" w:type="dxa"/>
                </w:tcPr>
                <w:p w14:paraId="192660AE" w14:textId="77777777" w:rsidR="00824CF6" w:rsidRDefault="00824CF6" w:rsidP="0026171F">
                  <w:pPr>
                    <w:pStyle w:val="NoSpacing"/>
                    <w:jc w:val="center"/>
                  </w:pPr>
                  <w:r>
                    <w:t>Baseline above MPL</w:t>
                  </w:r>
                </w:p>
              </w:tc>
              <w:tc>
                <w:tcPr>
                  <w:tcW w:w="1846" w:type="dxa"/>
                </w:tcPr>
                <w:p w14:paraId="7057B84B" w14:textId="77777777" w:rsidR="00824CF6" w:rsidRPr="00791AAE" w:rsidRDefault="00824CF6" w:rsidP="0026171F">
                  <w:pPr>
                    <w:pStyle w:val="NoSpacing"/>
                    <w:jc w:val="center"/>
                  </w:pPr>
                  <w:r>
                    <w:t>B</w:t>
                  </w:r>
                  <w:r w:rsidRPr="00F2515D">
                    <w:t xml:space="preserve">aseline + 10%*(HPL - </w:t>
                  </w:r>
                  <w:r>
                    <w:t>B</w:t>
                  </w:r>
                  <w:r w:rsidRPr="00F2515D">
                    <w:t>aseline)</w:t>
                  </w:r>
                  <w:bookmarkStart w:id="0" w:name="_GoBack"/>
                  <w:bookmarkEnd w:id="0"/>
                </w:p>
              </w:tc>
              <w:tc>
                <w:tcPr>
                  <w:tcW w:w="1846" w:type="dxa"/>
                </w:tcPr>
                <w:p w14:paraId="70460137" w14:textId="77777777" w:rsidR="00824CF6" w:rsidRPr="00791AAE" w:rsidRDefault="00824CF6" w:rsidP="0026171F">
                  <w:pPr>
                    <w:pStyle w:val="NoSpacing"/>
                    <w:jc w:val="center"/>
                  </w:pPr>
                  <w:r>
                    <w:t>B</w:t>
                  </w:r>
                  <w:r w:rsidRPr="00155143">
                    <w:t xml:space="preserve">aseline + 20%*(HPL - </w:t>
                  </w:r>
                  <w:r>
                    <w:t>B</w:t>
                  </w:r>
                  <w:r w:rsidRPr="00155143">
                    <w:t>aseline)</w:t>
                  </w:r>
                </w:p>
              </w:tc>
            </w:tr>
          </w:tbl>
          <w:p w14:paraId="223F7261" w14:textId="496EDED3" w:rsidR="00824CF6" w:rsidRDefault="00824CF6" w:rsidP="00967948">
            <w:pPr>
              <w:pStyle w:val="NoSpacing"/>
            </w:pPr>
          </w:p>
        </w:tc>
      </w:tr>
      <w:tr w:rsidR="00824CF6" w14:paraId="6F045BC5" w14:textId="77777777" w:rsidTr="00AD0A11">
        <w:tc>
          <w:tcPr>
            <w:tcW w:w="2627" w:type="dxa"/>
          </w:tcPr>
          <w:p w14:paraId="4631626B" w14:textId="2C3D7CA3" w:rsidR="00824CF6" w:rsidRDefault="00824CF6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Benchmark Description</w:t>
            </w:r>
          </w:p>
        </w:tc>
        <w:tc>
          <w:tcPr>
            <w:tcW w:w="6949" w:type="dxa"/>
          </w:tcPr>
          <w:tbl>
            <w:tblPr>
              <w:tblStyle w:val="TableGrid"/>
              <w:tblW w:w="6637" w:type="dxa"/>
              <w:tblLook w:val="04A0" w:firstRow="1" w:lastRow="0" w:firstColumn="1" w:lastColumn="0" w:noHBand="0" w:noVBand="1"/>
            </w:tblPr>
            <w:tblGrid>
              <w:gridCol w:w="3397"/>
              <w:gridCol w:w="3230"/>
              <w:gridCol w:w="10"/>
            </w:tblGrid>
            <w:tr w:rsidR="00824CF6" w14:paraId="1FFCAB0D" w14:textId="77777777" w:rsidTr="0026171F">
              <w:trPr>
                <w:gridAfter w:val="1"/>
                <w:wAfter w:w="10" w:type="dxa"/>
              </w:trPr>
              <w:tc>
                <w:tcPr>
                  <w:tcW w:w="6627" w:type="dxa"/>
                  <w:gridSpan w:val="2"/>
                </w:tcPr>
                <w:p w14:paraId="4DE331DC" w14:textId="7B9530EC" w:rsidR="00824CF6" w:rsidRPr="00791AAE" w:rsidRDefault="00824CF6" w:rsidP="00735137">
                  <w:pPr>
                    <w:pStyle w:val="NoSpacing"/>
                    <w:jc w:val="center"/>
                  </w:pPr>
                  <w:r w:rsidRPr="00E44602">
                    <w:t xml:space="preserve">NCQA </w:t>
                  </w:r>
                  <w:r>
                    <w:t>Quality Compass</w:t>
                  </w:r>
                </w:p>
              </w:tc>
            </w:tr>
            <w:tr w:rsidR="00824CF6" w14:paraId="225C596A" w14:textId="77777777" w:rsidTr="0026171F">
              <w:tc>
                <w:tcPr>
                  <w:tcW w:w="3397" w:type="dxa"/>
                </w:tcPr>
                <w:p w14:paraId="3B3ADB4E" w14:textId="77777777" w:rsidR="00824CF6" w:rsidRPr="00791AAE" w:rsidRDefault="00824CF6" w:rsidP="0026171F">
                  <w:pPr>
                    <w:pStyle w:val="NoSpacing"/>
                    <w:jc w:val="center"/>
                  </w:pPr>
                  <w:r w:rsidRPr="00791AAE">
                    <w:t>HPL (90</w:t>
                  </w:r>
                  <w:r w:rsidRPr="00537ED7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</w:p>
              </w:tc>
              <w:tc>
                <w:tcPr>
                  <w:tcW w:w="3240" w:type="dxa"/>
                  <w:gridSpan w:val="2"/>
                </w:tcPr>
                <w:p w14:paraId="6DC10EA9" w14:textId="52C23DA3" w:rsidR="00824CF6" w:rsidRPr="00791AAE" w:rsidRDefault="00824CF6" w:rsidP="00AD0A11">
                  <w:pPr>
                    <w:pStyle w:val="NoSpacing"/>
                    <w:jc w:val="center"/>
                  </w:pPr>
                  <w:r>
                    <w:t>77.31%</w:t>
                  </w:r>
                </w:p>
              </w:tc>
            </w:tr>
            <w:tr w:rsidR="00824CF6" w14:paraId="1F79AC1C" w14:textId="77777777" w:rsidTr="0026171F">
              <w:tc>
                <w:tcPr>
                  <w:tcW w:w="3397" w:type="dxa"/>
                </w:tcPr>
                <w:p w14:paraId="4BDF0043" w14:textId="77777777" w:rsidR="00824CF6" w:rsidRPr="00791AAE" w:rsidRDefault="00824CF6" w:rsidP="0026171F">
                  <w:pPr>
                    <w:pStyle w:val="NoSpacing"/>
                    <w:jc w:val="center"/>
                  </w:pPr>
                  <w:r>
                    <w:t>MPL (25</w:t>
                  </w:r>
                  <w:r w:rsidRPr="00791AAE">
                    <w:rPr>
                      <w:vertAlign w:val="superscript"/>
                    </w:rPr>
                    <w:t>th</w:t>
                  </w:r>
                  <w:r w:rsidRPr="00791AAE">
                    <w:t xml:space="preserve"> Percentile)</w:t>
                  </w:r>
                  <w:r>
                    <w:t xml:space="preserve"> or 10</w:t>
                  </w:r>
                  <w:r w:rsidRPr="001967CC">
                    <w:rPr>
                      <w:vertAlign w:val="superscript"/>
                    </w:rPr>
                    <w:t>th</w:t>
                  </w:r>
                  <w:r>
                    <w:t xml:space="preserve"> if applicable</w:t>
                  </w:r>
                </w:p>
              </w:tc>
              <w:tc>
                <w:tcPr>
                  <w:tcW w:w="3240" w:type="dxa"/>
                  <w:gridSpan w:val="2"/>
                </w:tcPr>
                <w:p w14:paraId="0F7891AF" w14:textId="72C95592" w:rsidR="00824CF6" w:rsidRPr="00791AAE" w:rsidRDefault="00824CF6" w:rsidP="00AD0A11">
                  <w:pPr>
                    <w:pStyle w:val="NoSpacing"/>
                    <w:jc w:val="center"/>
                  </w:pPr>
                  <w:r>
                    <w:t>54.26%</w:t>
                  </w:r>
                </w:p>
              </w:tc>
            </w:tr>
          </w:tbl>
          <w:p w14:paraId="6F99815A" w14:textId="77777777" w:rsidR="00824CF6" w:rsidRDefault="00824CF6" w:rsidP="00967948">
            <w:pPr>
              <w:pStyle w:val="NoSpacing"/>
            </w:pPr>
          </w:p>
        </w:tc>
      </w:tr>
      <w:tr w:rsidR="00AD706B" w14:paraId="223F7265" w14:textId="77777777" w:rsidTr="00AD0A11">
        <w:tc>
          <w:tcPr>
            <w:tcW w:w="2627" w:type="dxa"/>
          </w:tcPr>
          <w:p w14:paraId="223F726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949" w:type="dxa"/>
          </w:tcPr>
          <w:p w14:paraId="223F7264" w14:textId="3ACA9970" w:rsidR="009F78A7" w:rsidRDefault="002147C6" w:rsidP="002147C6">
            <w:pPr>
              <w:pStyle w:val="NoSpacing"/>
            </w:pPr>
            <w:r>
              <w:t xml:space="preserve">Specification that a single rate will be reported for six or more well child visits. </w:t>
            </w:r>
          </w:p>
        </w:tc>
      </w:tr>
      <w:tr w:rsidR="00AD706B" w14:paraId="223F7268" w14:textId="77777777" w:rsidTr="00AD0A11">
        <w:tc>
          <w:tcPr>
            <w:tcW w:w="2627" w:type="dxa"/>
          </w:tcPr>
          <w:p w14:paraId="223F7266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949" w:type="dxa"/>
          </w:tcPr>
          <w:p w14:paraId="223F7267" w14:textId="77777777" w:rsidR="00AD706B" w:rsidRPr="009F7E66" w:rsidRDefault="00A15E2B" w:rsidP="001D6BEA">
            <w:pPr>
              <w:pStyle w:val="NoSpacing"/>
            </w:pPr>
            <w:r w:rsidRPr="00A15E2B">
              <w:t>Patients who turned 15 months old during the measurement year.</w:t>
            </w:r>
          </w:p>
        </w:tc>
      </w:tr>
      <w:tr w:rsidR="00787D45" w14:paraId="223F726B" w14:textId="77777777" w:rsidTr="00AD0A11">
        <w:trPr>
          <w:trHeight w:val="728"/>
        </w:trPr>
        <w:tc>
          <w:tcPr>
            <w:tcW w:w="2627" w:type="dxa"/>
          </w:tcPr>
          <w:p w14:paraId="223F7269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949" w:type="dxa"/>
          </w:tcPr>
          <w:p w14:paraId="223F726A" w14:textId="77777777" w:rsidR="00787D45" w:rsidRPr="0012650D" w:rsidRDefault="00787D45" w:rsidP="00A15E2B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in the denominator description.</w:t>
            </w:r>
          </w:p>
        </w:tc>
      </w:tr>
      <w:tr w:rsidR="00787D45" w14:paraId="223F726E" w14:textId="77777777" w:rsidTr="00AD0A11">
        <w:trPr>
          <w:trHeight w:val="710"/>
        </w:trPr>
        <w:tc>
          <w:tcPr>
            <w:tcW w:w="2627" w:type="dxa"/>
          </w:tcPr>
          <w:p w14:paraId="223F726C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949" w:type="dxa"/>
          </w:tcPr>
          <w:p w14:paraId="223F726D" w14:textId="77777777" w:rsidR="00787D45" w:rsidRPr="001D6BEA" w:rsidRDefault="00787D45" w:rsidP="002F15E3">
            <w:pPr>
              <w:pStyle w:val="NoSpacing"/>
            </w:pPr>
            <w:r>
              <w:t>The Measure Steward does not identify specific denominator exclusions beyond what is described in the denominator description.</w:t>
            </w:r>
          </w:p>
        </w:tc>
      </w:tr>
      <w:tr w:rsidR="00D63CD3" w14:paraId="223F7274" w14:textId="77777777" w:rsidTr="00AD0A11">
        <w:tc>
          <w:tcPr>
            <w:tcW w:w="2627" w:type="dxa"/>
          </w:tcPr>
          <w:p w14:paraId="223F726F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949" w:type="dxa"/>
          </w:tcPr>
          <w:p w14:paraId="223F7270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223F7271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223F7272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223F7273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</w:t>
            </w:r>
            <w:r w:rsidR="003A409E">
              <w:lastRenderedPageBreak/>
              <w:t xml:space="preserve">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223F727E" w14:textId="77777777" w:rsidTr="00AD0A11">
        <w:tc>
          <w:tcPr>
            <w:tcW w:w="2627" w:type="dxa"/>
          </w:tcPr>
          <w:p w14:paraId="223F7275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949" w:type="dxa"/>
          </w:tcPr>
          <w:p w14:paraId="223F727D" w14:textId="748DA57B" w:rsidR="00AC3A97" w:rsidRPr="009F7E66" w:rsidRDefault="00AD0A11" w:rsidP="001C33B7">
            <w:pPr>
              <w:pStyle w:val="NoSpacing"/>
            </w:pPr>
            <w:r>
              <w:t xml:space="preserve">Patients who had </w:t>
            </w:r>
            <w:r w:rsidR="00A15E2B">
              <w:t xml:space="preserve">the </w:t>
            </w:r>
            <w:r w:rsidR="004578CB">
              <w:t xml:space="preserve">six or </w:t>
            </w:r>
            <w:proofErr w:type="gramStart"/>
            <w:r w:rsidR="004578CB">
              <w:t xml:space="preserve">more </w:t>
            </w:r>
            <w:r w:rsidR="00A15E2B">
              <w:t xml:space="preserve"> well</w:t>
            </w:r>
            <w:proofErr w:type="gramEnd"/>
            <w:r w:rsidR="00A15E2B">
              <w:t>-child visits with a PCP during their first 15 months of life.</w:t>
            </w:r>
          </w:p>
        </w:tc>
      </w:tr>
      <w:tr w:rsidR="00787D45" w14:paraId="223F7281" w14:textId="77777777" w:rsidTr="00AD0A11">
        <w:tc>
          <w:tcPr>
            <w:tcW w:w="2627" w:type="dxa"/>
          </w:tcPr>
          <w:p w14:paraId="223F727F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949" w:type="dxa"/>
          </w:tcPr>
          <w:p w14:paraId="223F7280" w14:textId="77777777" w:rsidR="00787D45" w:rsidRPr="0012650D" w:rsidRDefault="00787D45" w:rsidP="002F15E3">
            <w:pPr>
              <w:pStyle w:val="NoSpacing"/>
              <w:rPr>
                <w:b/>
              </w:rPr>
            </w:pPr>
            <w:r>
              <w:t>The Measure Steward does not identify specific numerator inclusions beyond what is described in the numerator description.</w:t>
            </w:r>
          </w:p>
        </w:tc>
      </w:tr>
      <w:tr w:rsidR="00787D45" w14:paraId="223F7284" w14:textId="77777777" w:rsidTr="00AD0A11">
        <w:tc>
          <w:tcPr>
            <w:tcW w:w="2627" w:type="dxa"/>
          </w:tcPr>
          <w:p w14:paraId="223F7282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949" w:type="dxa"/>
          </w:tcPr>
          <w:p w14:paraId="223F7283" w14:textId="77777777" w:rsidR="00787D45" w:rsidRPr="001D6BEA" w:rsidRDefault="00787D45" w:rsidP="002F15E3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223F7287" w14:textId="77777777" w:rsidTr="00AD0A11">
        <w:tc>
          <w:tcPr>
            <w:tcW w:w="2627" w:type="dxa"/>
          </w:tcPr>
          <w:p w14:paraId="223F728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949" w:type="dxa"/>
          </w:tcPr>
          <w:p w14:paraId="223F7286" w14:textId="77777777" w:rsidR="00AD706B" w:rsidRDefault="00AD706B" w:rsidP="00CD7069">
            <w:pPr>
              <w:pStyle w:val="NoSpacing"/>
            </w:pPr>
            <w:r>
              <w:t>Ambulatory</w:t>
            </w:r>
          </w:p>
        </w:tc>
      </w:tr>
      <w:tr w:rsidR="00AD706B" w14:paraId="223F728A" w14:textId="77777777" w:rsidTr="00AD0A11">
        <w:tc>
          <w:tcPr>
            <w:tcW w:w="2627" w:type="dxa"/>
          </w:tcPr>
          <w:p w14:paraId="223F7288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949" w:type="dxa"/>
          </w:tcPr>
          <w:p w14:paraId="223F7289" w14:textId="77777777" w:rsidR="00AD706B" w:rsidRDefault="00DF3B02" w:rsidP="00AF3A3D">
            <w:pPr>
              <w:pStyle w:val="NoSpacing"/>
            </w:pPr>
            <w:r w:rsidRPr="00DF3B02">
              <w:t>Administrative/Clinical data sources; Electronic Clinical Data; Paper Medical Records</w:t>
            </w:r>
          </w:p>
        </w:tc>
      </w:tr>
      <w:tr w:rsidR="00AD0A11" w14:paraId="223F72A9" w14:textId="77777777" w:rsidTr="00AD0A11">
        <w:tc>
          <w:tcPr>
            <w:tcW w:w="2627" w:type="dxa"/>
          </w:tcPr>
          <w:p w14:paraId="223F728B" w14:textId="5242CA36" w:rsidR="00AD0A11" w:rsidRPr="00AD0A11" w:rsidRDefault="00AD0A11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949" w:type="dxa"/>
          </w:tcPr>
          <w:p w14:paraId="126A075B" w14:textId="77777777" w:rsidR="00AD0A11" w:rsidRDefault="00AD0A11" w:rsidP="0026171F">
            <w:pPr>
              <w:pStyle w:val="NoSpacing"/>
            </w:pPr>
            <w:r>
              <w:t>All denominator subsets are permissible for this outcome</w:t>
            </w:r>
          </w:p>
          <w:p w14:paraId="223F72A8" w14:textId="22963720" w:rsidR="00AD0A11" w:rsidRPr="00074701" w:rsidRDefault="00AD0A11" w:rsidP="007F7C07">
            <w:pPr>
              <w:pStyle w:val="NoSpacing"/>
              <w:spacing w:line="276" w:lineRule="auto"/>
              <w:rPr>
                <w:b/>
              </w:rPr>
            </w:pPr>
            <w:r>
              <w:t> </w:t>
            </w:r>
          </w:p>
        </w:tc>
      </w:tr>
    </w:tbl>
    <w:p w14:paraId="223F72F3" w14:textId="77777777" w:rsidR="00356CF4" w:rsidRPr="008F249E" w:rsidRDefault="00356CF4" w:rsidP="007C7C85">
      <w:pPr>
        <w:pStyle w:val="Heading2"/>
      </w:pPr>
    </w:p>
    <w:sectPr w:rsidR="00356CF4" w:rsidRPr="008F249E" w:rsidSect="00B30FB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F72F7" w14:textId="77777777" w:rsidR="00B175F4" w:rsidRDefault="00B175F4" w:rsidP="00F63191">
      <w:pPr>
        <w:spacing w:after="0" w:line="240" w:lineRule="auto"/>
      </w:pPr>
      <w:r>
        <w:separator/>
      </w:r>
    </w:p>
  </w:endnote>
  <w:endnote w:type="continuationSeparator" w:id="0">
    <w:p w14:paraId="223F72F8" w14:textId="77777777" w:rsidR="00B175F4" w:rsidRDefault="00B175F4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F140" w14:textId="649A4508" w:rsidR="00011757" w:rsidRDefault="00011757">
    <w:pPr>
      <w:pStyle w:val="Footer"/>
    </w:pPr>
    <w:r>
      <w:t>09/25/14</w:t>
    </w:r>
  </w:p>
  <w:p w14:paraId="223F72FB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F72F5" w14:textId="77777777" w:rsidR="00B175F4" w:rsidRDefault="00B175F4" w:rsidP="00F63191">
      <w:pPr>
        <w:spacing w:after="0" w:line="240" w:lineRule="auto"/>
      </w:pPr>
      <w:r>
        <w:separator/>
      </w:r>
    </w:p>
  </w:footnote>
  <w:footnote w:type="continuationSeparator" w:id="0">
    <w:p w14:paraId="223F72F6" w14:textId="77777777" w:rsidR="00B175F4" w:rsidRDefault="00B175F4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72F9" w14:textId="414622C3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11757"/>
    <w:rsid w:val="00074701"/>
    <w:rsid w:val="000C575F"/>
    <w:rsid w:val="000D1199"/>
    <w:rsid w:val="000D5A2D"/>
    <w:rsid w:val="000E7EED"/>
    <w:rsid w:val="00100A2F"/>
    <w:rsid w:val="00107C1A"/>
    <w:rsid w:val="0011709A"/>
    <w:rsid w:val="00142DBC"/>
    <w:rsid w:val="00165D76"/>
    <w:rsid w:val="001C33B7"/>
    <w:rsid w:val="001D6BEA"/>
    <w:rsid w:val="002147C6"/>
    <w:rsid w:val="002224F0"/>
    <w:rsid w:val="00245754"/>
    <w:rsid w:val="00271E53"/>
    <w:rsid w:val="002845C2"/>
    <w:rsid w:val="002E14AF"/>
    <w:rsid w:val="002F673F"/>
    <w:rsid w:val="0032246B"/>
    <w:rsid w:val="003325F1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578CB"/>
    <w:rsid w:val="00502BE4"/>
    <w:rsid w:val="00506BC5"/>
    <w:rsid w:val="00536799"/>
    <w:rsid w:val="00544271"/>
    <w:rsid w:val="00561D6D"/>
    <w:rsid w:val="005802A0"/>
    <w:rsid w:val="005857E6"/>
    <w:rsid w:val="005B79DD"/>
    <w:rsid w:val="005C70A1"/>
    <w:rsid w:val="005F4D43"/>
    <w:rsid w:val="007164C7"/>
    <w:rsid w:val="00735137"/>
    <w:rsid w:val="00743628"/>
    <w:rsid w:val="00760D27"/>
    <w:rsid w:val="00787D45"/>
    <w:rsid w:val="007C728B"/>
    <w:rsid w:val="007C7C85"/>
    <w:rsid w:val="007E0395"/>
    <w:rsid w:val="007F675B"/>
    <w:rsid w:val="007F7C07"/>
    <w:rsid w:val="00823868"/>
    <w:rsid w:val="00824CF6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15E2B"/>
    <w:rsid w:val="00A82574"/>
    <w:rsid w:val="00AC3A97"/>
    <w:rsid w:val="00AD0A11"/>
    <w:rsid w:val="00AD706B"/>
    <w:rsid w:val="00AF3A3D"/>
    <w:rsid w:val="00B05CBF"/>
    <w:rsid w:val="00B175F4"/>
    <w:rsid w:val="00B20462"/>
    <w:rsid w:val="00B30FB8"/>
    <w:rsid w:val="00B546CF"/>
    <w:rsid w:val="00B65D92"/>
    <w:rsid w:val="00B7257A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CE3CF9"/>
    <w:rsid w:val="00D1777E"/>
    <w:rsid w:val="00D63CD3"/>
    <w:rsid w:val="00DB7651"/>
    <w:rsid w:val="00DE660A"/>
    <w:rsid w:val="00DF3B02"/>
    <w:rsid w:val="00E2238C"/>
    <w:rsid w:val="00E43145"/>
    <w:rsid w:val="00EB6678"/>
    <w:rsid w:val="00EB7647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7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E22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E2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139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908D1-718F-4CB3-94C0-B4D4A50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2014-09-25T20:39:00Z</dcterms:created>
  <dcterms:modified xsi:type="dcterms:W3CDTF">2014-09-25T20:39:00Z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