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A685" w14:textId="39BB6B38" w:rsidR="00AD706B" w:rsidRDefault="00911A48" w:rsidP="00AD706B">
      <w:pPr>
        <w:pStyle w:val="Heading1"/>
      </w:pPr>
      <w:r>
        <w:t>IT</w:t>
      </w:r>
      <w:r w:rsidR="00824949">
        <w:t>-8.1</w:t>
      </w:r>
      <w:r w:rsidR="00AD706B">
        <w:t xml:space="preserve">:  </w:t>
      </w:r>
      <w:r w:rsidRPr="00911A48">
        <w:t>Timeliness of Prenatal/</w:t>
      </w:r>
      <w:r w:rsidR="00824949">
        <w:t>Postpartum</w:t>
      </w:r>
      <w:r w:rsidR="00824949" w:rsidRPr="00911A48">
        <w:t xml:space="preserve"> </w:t>
      </w:r>
      <w:r w:rsidRPr="00911A48">
        <w:t>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949"/>
      </w:tblGrid>
      <w:tr w:rsidR="00AD706B" w14:paraId="14DEA688" w14:textId="77777777" w:rsidTr="0006257A">
        <w:trPr>
          <w:tblHeader/>
        </w:trPr>
        <w:tc>
          <w:tcPr>
            <w:tcW w:w="2627" w:type="dxa"/>
            <w:shd w:val="clear" w:color="auto" w:fill="F2F2F2" w:themeFill="background1" w:themeFillShade="F2"/>
          </w:tcPr>
          <w:p w14:paraId="14DEA68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949" w:type="dxa"/>
            <w:shd w:val="clear" w:color="auto" w:fill="F2F2F2" w:themeFill="background1" w:themeFillShade="F2"/>
          </w:tcPr>
          <w:p w14:paraId="14DEA687" w14:textId="732CB8F2" w:rsidR="00AD706B" w:rsidRPr="008779F5" w:rsidRDefault="00137F8D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 </w:t>
            </w:r>
            <w:r w:rsidR="00DD0AC1" w:rsidRPr="00DD0AC1">
              <w:rPr>
                <w:b/>
              </w:rPr>
              <w:t>Prenatal &amp; Postpartum Care (PPC)</w:t>
            </w:r>
          </w:p>
        </w:tc>
      </w:tr>
      <w:tr w:rsidR="00AD706B" w14:paraId="14DEA68F" w14:textId="77777777" w:rsidTr="0006257A">
        <w:tc>
          <w:tcPr>
            <w:tcW w:w="2627" w:type="dxa"/>
          </w:tcPr>
          <w:p w14:paraId="14DEA68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949" w:type="dxa"/>
          </w:tcPr>
          <w:p w14:paraId="14DEA68A" w14:textId="4432517D" w:rsidR="00AD706B" w:rsidRDefault="00DD0AC1" w:rsidP="00B05CBF">
            <w:pPr>
              <w:pStyle w:val="NoSpacing"/>
            </w:pPr>
            <w:r w:rsidRPr="00DD0AC1">
              <w:t xml:space="preserve">The percentage of deliveries of live births between </w:t>
            </w:r>
            <w:r w:rsidR="00981EC7">
              <w:t>the sixth day of Month 11</w:t>
            </w:r>
            <w:r w:rsidRPr="00DD0AC1">
              <w:t xml:space="preserve"> of the year prior to the measurement year and </w:t>
            </w:r>
            <w:r w:rsidR="00981EC7">
              <w:t xml:space="preserve">the fifth day of Month 11 </w:t>
            </w:r>
            <w:r w:rsidRPr="00DD0AC1">
              <w:t>of the measurement year. For these women, the measure assesses the following facets of prenatal and postpartum care.</w:t>
            </w:r>
          </w:p>
          <w:p w14:paraId="14DEA68B" w14:textId="77777777" w:rsidR="00DD0AC1" w:rsidRDefault="00DD0AC1" w:rsidP="00B05CBF">
            <w:pPr>
              <w:pStyle w:val="NoSpacing"/>
            </w:pPr>
          </w:p>
          <w:p w14:paraId="14DEA68C" w14:textId="20D9FEED" w:rsidR="00DD0AC1" w:rsidRDefault="00DD0AC1" w:rsidP="00B05CBF">
            <w:pPr>
              <w:pStyle w:val="NoSpacing"/>
            </w:pPr>
            <w:r w:rsidRPr="00DD0AC1">
              <w:t xml:space="preserve">Rate 1: Timeliness of Prenatal Care. The percentage of deliveries that received a prenatal care visit in the first </w:t>
            </w:r>
            <w:r w:rsidR="00CF376D" w:rsidRPr="00DD0AC1">
              <w:t>trimester.</w:t>
            </w:r>
          </w:p>
          <w:p w14:paraId="14DEA68D" w14:textId="77777777" w:rsidR="00DD0AC1" w:rsidRDefault="00DD0AC1" w:rsidP="00B05CBF">
            <w:pPr>
              <w:pStyle w:val="NoSpacing"/>
            </w:pPr>
          </w:p>
          <w:p w14:paraId="14DEA68E" w14:textId="77777777" w:rsidR="00DD0AC1" w:rsidRDefault="00DD0AC1" w:rsidP="00B05CBF">
            <w:pPr>
              <w:pStyle w:val="NoSpacing"/>
            </w:pPr>
            <w:r w:rsidRPr="00DD0AC1">
              <w:t>Rate 2: Postpartum Care. The percentage of deliveries that had a postpartum visit on or between 21 and 56 days after delivery.</w:t>
            </w:r>
          </w:p>
        </w:tc>
      </w:tr>
      <w:tr w:rsidR="00AD706B" w14:paraId="14DEA692" w14:textId="77777777" w:rsidTr="0006257A">
        <w:tc>
          <w:tcPr>
            <w:tcW w:w="2627" w:type="dxa"/>
          </w:tcPr>
          <w:p w14:paraId="14DEA69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949" w:type="dxa"/>
          </w:tcPr>
          <w:p w14:paraId="14DEA691" w14:textId="77777777" w:rsidR="00AD706B" w:rsidRDefault="000929C7" w:rsidP="00B05CBF">
            <w:pPr>
              <w:pStyle w:val="NoSpacing"/>
            </w:pPr>
            <w:r>
              <w:t>1517</w:t>
            </w:r>
          </w:p>
        </w:tc>
      </w:tr>
      <w:tr w:rsidR="00AD706B" w14:paraId="14DEA695" w14:textId="77777777" w:rsidTr="0006257A">
        <w:tc>
          <w:tcPr>
            <w:tcW w:w="2627" w:type="dxa"/>
          </w:tcPr>
          <w:p w14:paraId="14DEA69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949" w:type="dxa"/>
          </w:tcPr>
          <w:p w14:paraId="14DEA694" w14:textId="77777777" w:rsidR="00AD706B" w:rsidRPr="00631E85" w:rsidRDefault="000929C7" w:rsidP="00A374B8">
            <w:pPr>
              <w:pStyle w:val="NoSpacing"/>
            </w:pPr>
            <w:r w:rsidRPr="000929C7">
              <w:t>National Committee for Quality Assurance</w:t>
            </w:r>
          </w:p>
        </w:tc>
      </w:tr>
      <w:tr w:rsidR="00AD706B" w14:paraId="14DEA698" w14:textId="77777777" w:rsidTr="0006257A">
        <w:tc>
          <w:tcPr>
            <w:tcW w:w="2627" w:type="dxa"/>
          </w:tcPr>
          <w:p w14:paraId="14DEA69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949" w:type="dxa"/>
          </w:tcPr>
          <w:p w14:paraId="14DEA697" w14:textId="77777777" w:rsidR="00AD706B" w:rsidRPr="00631E85" w:rsidRDefault="000D1716" w:rsidP="00561D6D">
            <w:pPr>
              <w:pStyle w:val="NoSpacing"/>
            </w:pPr>
            <w:hyperlink r:id="rId12" w:history="1">
              <w:r w:rsidR="00DD0AC1" w:rsidRPr="000D2337">
                <w:rPr>
                  <w:rStyle w:val="Hyperlink"/>
                </w:rPr>
                <w:t>https://www.qualityforum.org/QPS/1517</w:t>
              </w:r>
            </w:hyperlink>
            <w:r w:rsidR="00DD0AC1">
              <w:t xml:space="preserve"> </w:t>
            </w:r>
          </w:p>
        </w:tc>
      </w:tr>
      <w:tr w:rsidR="00AD706B" w14:paraId="14DEA69B" w14:textId="77777777" w:rsidTr="0006257A">
        <w:tc>
          <w:tcPr>
            <w:tcW w:w="2627" w:type="dxa"/>
          </w:tcPr>
          <w:p w14:paraId="14DEA699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949" w:type="dxa"/>
          </w:tcPr>
          <w:p w14:paraId="14DEA69A" w14:textId="77777777" w:rsidR="00AD706B" w:rsidRDefault="00E3780B" w:rsidP="00AD706B">
            <w:pPr>
              <w:pStyle w:val="NoSpacing"/>
            </w:pPr>
            <w:r>
              <w:t>NSA</w:t>
            </w:r>
          </w:p>
        </w:tc>
      </w:tr>
      <w:tr w:rsidR="00CF376D" w14:paraId="14DEA69E" w14:textId="77777777" w:rsidTr="0006257A">
        <w:tc>
          <w:tcPr>
            <w:tcW w:w="2627" w:type="dxa"/>
          </w:tcPr>
          <w:p w14:paraId="14DEA69C" w14:textId="661597DF" w:rsidR="00CF376D" w:rsidRDefault="00CF376D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949" w:type="dxa"/>
          </w:tcPr>
          <w:p w14:paraId="11C0339C" w14:textId="77777777" w:rsidR="00CF376D" w:rsidRDefault="00CF376D" w:rsidP="001967CC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CF376D" w14:paraId="3B49266F" w14:textId="77777777" w:rsidTr="001967CC">
              <w:tc>
                <w:tcPr>
                  <w:tcW w:w="1880" w:type="dxa"/>
                </w:tcPr>
                <w:p w14:paraId="1588A68A" w14:textId="77777777" w:rsidR="00CF376D" w:rsidRPr="00791AAE" w:rsidRDefault="00CF376D" w:rsidP="001967CC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669BED2" w14:textId="77777777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11CA4B18" w14:textId="77777777" w:rsidR="00CF376D" w:rsidRPr="00791AAE" w:rsidRDefault="00CF376D" w:rsidP="001967CC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18AF922A" w14:textId="77777777" w:rsidR="00CF376D" w:rsidRPr="00791AAE" w:rsidRDefault="00CF376D" w:rsidP="001967CC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228722D0" w14:textId="77777777" w:rsidR="00CF376D" w:rsidRPr="00791AAE" w:rsidRDefault="00CF376D" w:rsidP="001967CC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354F38F7" w14:textId="77777777" w:rsidR="00CF376D" w:rsidRPr="00791AAE" w:rsidRDefault="00CF376D" w:rsidP="001967CC">
                  <w:pPr>
                    <w:pStyle w:val="NoSpacing"/>
                    <w:jc w:val="center"/>
                  </w:pPr>
                </w:p>
              </w:tc>
            </w:tr>
            <w:tr w:rsidR="00CF376D" w14:paraId="34C9AF50" w14:textId="77777777" w:rsidTr="001967CC">
              <w:tc>
                <w:tcPr>
                  <w:tcW w:w="1880" w:type="dxa"/>
                  <w:vMerge w:val="restart"/>
                </w:tcPr>
                <w:p w14:paraId="00544DD7" w14:textId="77777777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3D3AD898" w14:textId="77777777" w:rsidR="00CF376D" w:rsidRPr="00791AAE" w:rsidRDefault="00CF376D" w:rsidP="001967CC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15940E7F" w14:textId="77777777" w:rsidR="00CF376D" w:rsidRDefault="00CF376D" w:rsidP="001967CC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6BFCE6BD" w14:textId="77777777" w:rsidR="00CF376D" w:rsidRPr="00791AAE" w:rsidRDefault="00CF376D" w:rsidP="001967CC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602CE13C" w14:textId="77777777" w:rsidR="00CF376D" w:rsidRPr="00791AAE" w:rsidRDefault="00CF376D" w:rsidP="001967CC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CF376D" w14:paraId="5D214E99" w14:textId="77777777" w:rsidTr="001967CC">
              <w:tc>
                <w:tcPr>
                  <w:tcW w:w="1880" w:type="dxa"/>
                  <w:vMerge/>
                </w:tcPr>
                <w:p w14:paraId="385754D9" w14:textId="77777777" w:rsidR="00CF376D" w:rsidRPr="00791AAE" w:rsidRDefault="00CF376D" w:rsidP="001967CC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095ED8EF" w14:textId="77777777" w:rsidR="00CF376D" w:rsidRDefault="00CF376D" w:rsidP="001967CC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16B502F9" w14:textId="77777777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393FBC23" w14:textId="77777777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14DEA69D" w14:textId="657034AE" w:rsidR="00CF376D" w:rsidRDefault="00CF376D" w:rsidP="00DD0AC1">
            <w:pPr>
              <w:pStyle w:val="NoSpacing"/>
            </w:pPr>
          </w:p>
        </w:tc>
      </w:tr>
      <w:tr w:rsidR="00CF376D" w14:paraId="449C81F5" w14:textId="77777777" w:rsidTr="0006257A">
        <w:tc>
          <w:tcPr>
            <w:tcW w:w="2627" w:type="dxa"/>
          </w:tcPr>
          <w:p w14:paraId="3B4C287D" w14:textId="61D13326" w:rsidR="00CF376D" w:rsidRDefault="00CF376D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949" w:type="dxa"/>
          </w:tcPr>
          <w:tbl>
            <w:tblPr>
              <w:tblStyle w:val="TableGrid"/>
              <w:tblW w:w="6637" w:type="dxa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CF376D" w14:paraId="011556F8" w14:textId="77777777" w:rsidTr="001967CC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31A42467" w14:textId="2DB0DFE2" w:rsidR="00CF376D" w:rsidRPr="00791AAE" w:rsidRDefault="00CF376D" w:rsidP="003B3CDA">
                  <w:pPr>
                    <w:pStyle w:val="NoSpacing"/>
                    <w:jc w:val="center"/>
                  </w:pPr>
                  <w:r w:rsidRPr="00E3780B">
                    <w:t>NCQA</w:t>
                  </w:r>
                  <w:r w:rsidR="003B3CDA">
                    <w:t xml:space="preserve"> </w:t>
                  </w:r>
                  <w:r w:rsidRPr="00E3780B">
                    <w:t>Accreditation Benchmarks and Thresholds</w:t>
                  </w:r>
                </w:p>
              </w:tc>
            </w:tr>
            <w:tr w:rsidR="00CF376D" w14:paraId="6CCF585B" w14:textId="77777777" w:rsidTr="001967CC">
              <w:tc>
                <w:tcPr>
                  <w:tcW w:w="3397" w:type="dxa"/>
                </w:tcPr>
                <w:p w14:paraId="2AB60983" w14:textId="77777777" w:rsidR="00CF376D" w:rsidRPr="00791AAE" w:rsidRDefault="00CF376D" w:rsidP="001967CC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7102CF20" w14:textId="3FD2902E" w:rsidR="00CF376D" w:rsidRDefault="00CF376D" w:rsidP="001967CC">
                  <w:pPr>
                    <w:pStyle w:val="NoSpacing"/>
                    <w:jc w:val="center"/>
                  </w:pPr>
                  <w:r>
                    <w:t>Prenatal Care: 93%</w:t>
                  </w:r>
                </w:p>
                <w:p w14:paraId="2497C0E2" w14:textId="0BF21406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Postpartum Care: 75%</w:t>
                  </w:r>
                </w:p>
              </w:tc>
            </w:tr>
            <w:tr w:rsidR="00CF376D" w14:paraId="056A5DE9" w14:textId="77777777" w:rsidTr="001967CC">
              <w:tc>
                <w:tcPr>
                  <w:tcW w:w="3397" w:type="dxa"/>
                </w:tcPr>
                <w:p w14:paraId="697D90BB" w14:textId="13D0FC82" w:rsidR="00CF376D" w:rsidRPr="00791AAE" w:rsidRDefault="00CF376D" w:rsidP="001967CC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78CA54D2" w14:textId="2CD5B923" w:rsidR="00CF376D" w:rsidRDefault="00CF376D" w:rsidP="00CF376D">
                  <w:pPr>
                    <w:pStyle w:val="NoSpacing"/>
                    <w:jc w:val="center"/>
                  </w:pPr>
                  <w:r>
                    <w:t>Prenatal Care: 80%</w:t>
                  </w:r>
                </w:p>
                <w:p w14:paraId="11264D26" w14:textId="43B45A0B" w:rsidR="00CF376D" w:rsidRPr="00791AAE" w:rsidRDefault="00CF376D" w:rsidP="00CF376D">
                  <w:pPr>
                    <w:pStyle w:val="NoSpacing"/>
                    <w:jc w:val="center"/>
                  </w:pPr>
                  <w:r>
                    <w:t>Postpartum Care: 60%</w:t>
                  </w:r>
                </w:p>
              </w:tc>
            </w:tr>
          </w:tbl>
          <w:p w14:paraId="73BA13F5" w14:textId="77777777" w:rsidR="00CF376D" w:rsidRDefault="00CF376D" w:rsidP="00DD0AC1">
            <w:pPr>
              <w:pStyle w:val="NoSpacing"/>
            </w:pPr>
          </w:p>
        </w:tc>
      </w:tr>
      <w:tr w:rsidR="00AD706B" w14:paraId="14DEA6A4" w14:textId="77777777" w:rsidTr="0006257A">
        <w:tc>
          <w:tcPr>
            <w:tcW w:w="2627" w:type="dxa"/>
          </w:tcPr>
          <w:p w14:paraId="14DEA69F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949" w:type="dxa"/>
          </w:tcPr>
          <w:p w14:paraId="14DEA6A0" w14:textId="77777777" w:rsidR="009F78A7" w:rsidRPr="006754EB" w:rsidRDefault="009F78A7" w:rsidP="009F78A7">
            <w:pPr>
              <w:pStyle w:val="NoSpacing"/>
            </w:pPr>
            <w:r w:rsidRPr="006754EB">
              <w:t>The Measure Steward’s specification has been modified as follows:</w:t>
            </w:r>
          </w:p>
          <w:p w14:paraId="14DEA6A1" w14:textId="77777777" w:rsidR="006754EB" w:rsidRDefault="009F78A7" w:rsidP="009F78A7">
            <w:pPr>
              <w:pStyle w:val="NoSpacing"/>
              <w:numPr>
                <w:ilvl w:val="0"/>
                <w:numId w:val="9"/>
              </w:numPr>
            </w:pPr>
            <w:r w:rsidRPr="006754EB">
              <w:t xml:space="preserve">Replaced </w:t>
            </w:r>
            <w:r w:rsidR="006754EB">
              <w:t>“November 6” with “the sixth day of Month 11”</w:t>
            </w:r>
          </w:p>
          <w:p w14:paraId="14DEA6A2" w14:textId="77777777" w:rsidR="009F78A7" w:rsidRPr="006754EB" w:rsidRDefault="006754EB" w:rsidP="009F78A7">
            <w:pPr>
              <w:pStyle w:val="NoSpacing"/>
              <w:numPr>
                <w:ilvl w:val="0"/>
                <w:numId w:val="9"/>
              </w:numPr>
            </w:pPr>
            <w:r>
              <w:t>Replaced “November 5” with “the fifth day of Month 11”</w:t>
            </w:r>
            <w:r w:rsidR="009F78A7" w:rsidRPr="006754EB">
              <w:t xml:space="preserve"> </w:t>
            </w:r>
          </w:p>
          <w:p w14:paraId="14DEA6A3" w14:textId="5F8E0D89" w:rsidR="00B725E0" w:rsidRDefault="00B725E0" w:rsidP="009F78A7">
            <w:pPr>
              <w:pStyle w:val="NoSpacing"/>
              <w:numPr>
                <w:ilvl w:val="0"/>
                <w:numId w:val="9"/>
              </w:numPr>
            </w:pPr>
            <w:r>
              <w:t>Removed references to being a patient</w:t>
            </w:r>
            <w:r w:rsidR="006754EB">
              <w:t xml:space="preserve"> </w:t>
            </w:r>
            <w:r>
              <w:t xml:space="preserve">of “the </w:t>
            </w:r>
            <w:r w:rsidR="006754EB">
              <w:t xml:space="preserve">organization” and “enrollment,” including timeframe of “within 42 days of enrollment in the </w:t>
            </w:r>
            <w:r w:rsidR="007E675F">
              <w:t>organization</w:t>
            </w:r>
            <w:r w:rsidR="00824949">
              <w:t>.</w:t>
            </w:r>
            <w:r w:rsidR="007E675F">
              <w:t>”</w:t>
            </w:r>
          </w:p>
        </w:tc>
      </w:tr>
      <w:tr w:rsidR="00AD706B" w14:paraId="14DEA6A7" w14:textId="77777777" w:rsidTr="0006257A">
        <w:tc>
          <w:tcPr>
            <w:tcW w:w="2627" w:type="dxa"/>
          </w:tcPr>
          <w:p w14:paraId="14DEA6A5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949" w:type="dxa"/>
          </w:tcPr>
          <w:p w14:paraId="14DEA6A6" w14:textId="3764331E" w:rsidR="00AD706B" w:rsidRPr="009F7E66" w:rsidRDefault="00DD0AC1" w:rsidP="001D6BEA">
            <w:pPr>
              <w:pStyle w:val="NoSpacing"/>
            </w:pPr>
            <w:r w:rsidRPr="00DD0AC1">
              <w:t xml:space="preserve">Deliveries of live births between </w:t>
            </w:r>
            <w:r w:rsidR="006754EB">
              <w:t>the sixth day of Month 11</w:t>
            </w:r>
            <w:r w:rsidRPr="00DD0AC1">
              <w:t xml:space="preserve">of the year prior to the measurement year and </w:t>
            </w:r>
            <w:r w:rsidR="006754EB">
              <w:t>the fifth day of Month 11</w:t>
            </w:r>
            <w:r w:rsidRPr="00DD0AC1">
              <w:t xml:space="preserve"> of the measurement year.</w:t>
            </w:r>
          </w:p>
        </w:tc>
      </w:tr>
      <w:tr w:rsidR="00787D45" w14:paraId="14DEA6AA" w14:textId="77777777" w:rsidTr="0006257A">
        <w:trPr>
          <w:trHeight w:val="728"/>
        </w:trPr>
        <w:tc>
          <w:tcPr>
            <w:tcW w:w="2627" w:type="dxa"/>
          </w:tcPr>
          <w:p w14:paraId="14DEA6A8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949" w:type="dxa"/>
          </w:tcPr>
          <w:p w14:paraId="14DEA6A9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AC6858">
              <w:t>n the denominator description.</w:t>
            </w:r>
          </w:p>
        </w:tc>
      </w:tr>
      <w:tr w:rsidR="00787D45" w14:paraId="14DEA6AD" w14:textId="77777777" w:rsidTr="0006257A">
        <w:trPr>
          <w:trHeight w:val="710"/>
        </w:trPr>
        <w:tc>
          <w:tcPr>
            <w:tcW w:w="2627" w:type="dxa"/>
          </w:tcPr>
          <w:p w14:paraId="14DEA6AB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Exclusions</w:t>
            </w:r>
          </w:p>
        </w:tc>
        <w:tc>
          <w:tcPr>
            <w:tcW w:w="6949" w:type="dxa"/>
          </w:tcPr>
          <w:p w14:paraId="14DEA6AC" w14:textId="77777777" w:rsidR="00787D45" w:rsidRPr="001D6BEA" w:rsidRDefault="00AC6858" w:rsidP="00AC6858">
            <w:pPr>
              <w:pStyle w:val="NoSpacing"/>
            </w:pPr>
            <w:r>
              <w:t>Exclude non-live births</w:t>
            </w:r>
          </w:p>
        </w:tc>
      </w:tr>
      <w:tr w:rsidR="00D63CD3" w14:paraId="14DEA6B3" w14:textId="77777777" w:rsidTr="0006257A">
        <w:tc>
          <w:tcPr>
            <w:tcW w:w="2627" w:type="dxa"/>
          </w:tcPr>
          <w:p w14:paraId="14DEA6AE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949" w:type="dxa"/>
          </w:tcPr>
          <w:p w14:paraId="14DEA6AF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4DEA6B0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4DEA6B1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4DEA6B2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  <w:bookmarkStart w:id="0" w:name="_GoBack"/>
            <w:bookmarkEnd w:id="0"/>
          </w:p>
        </w:tc>
      </w:tr>
      <w:tr w:rsidR="00AC3A97" w14:paraId="14DEA6BA" w14:textId="77777777" w:rsidTr="0006257A">
        <w:tc>
          <w:tcPr>
            <w:tcW w:w="2627" w:type="dxa"/>
          </w:tcPr>
          <w:p w14:paraId="14DEA6B4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949" w:type="dxa"/>
          </w:tcPr>
          <w:p w14:paraId="14DEA6B5" w14:textId="77777777" w:rsidR="00DD0AC1" w:rsidRDefault="00DD0AC1" w:rsidP="00DD0AC1">
            <w:pPr>
              <w:pStyle w:val="NoSpacing"/>
            </w:pPr>
            <w:r>
              <w:t>Deliveries of live births for which women receive the following facets of prenatal and postpartum care:</w:t>
            </w:r>
          </w:p>
          <w:p w14:paraId="14DEA6B6" w14:textId="77777777" w:rsidR="00DD0AC1" w:rsidRDefault="00DD0AC1" w:rsidP="00DD0AC1">
            <w:pPr>
              <w:pStyle w:val="NoSpacing"/>
            </w:pPr>
          </w:p>
          <w:p w14:paraId="14DEA6B7" w14:textId="1A09D5C6" w:rsidR="00DD0AC1" w:rsidRDefault="00DD0AC1" w:rsidP="00DD0AC1">
            <w:pPr>
              <w:pStyle w:val="NoSpacing"/>
            </w:pPr>
            <w:r>
              <w:t xml:space="preserve">Rate 1: Received a prenatal care visit as a patient of the organization in the first trimester </w:t>
            </w:r>
          </w:p>
          <w:p w14:paraId="14DEA6B8" w14:textId="77777777" w:rsidR="00DD0AC1" w:rsidRDefault="00DD0AC1" w:rsidP="00DD0AC1">
            <w:pPr>
              <w:pStyle w:val="NoSpacing"/>
            </w:pPr>
          </w:p>
          <w:p w14:paraId="14DEA6B9" w14:textId="77777777" w:rsidR="00AC3A97" w:rsidRPr="009F7E66" w:rsidRDefault="00DD0AC1" w:rsidP="00DD0AC1">
            <w:pPr>
              <w:pStyle w:val="NoSpacing"/>
            </w:pPr>
            <w:r>
              <w:t>Rate 2: Had a postpartum visit for a pelvic exam or postpartum care on or between 21 and 56 days after delivery.</w:t>
            </w:r>
          </w:p>
        </w:tc>
      </w:tr>
      <w:tr w:rsidR="00787D45" w14:paraId="14DEA6BD" w14:textId="77777777" w:rsidTr="0006257A">
        <w:tc>
          <w:tcPr>
            <w:tcW w:w="2627" w:type="dxa"/>
          </w:tcPr>
          <w:p w14:paraId="14DEA6BB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949" w:type="dxa"/>
          </w:tcPr>
          <w:p w14:paraId="14DEA6BC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AC6858">
              <w:t xml:space="preserve"> in the numerator description.</w:t>
            </w:r>
          </w:p>
        </w:tc>
      </w:tr>
      <w:tr w:rsidR="00787D45" w14:paraId="14DEA6C0" w14:textId="77777777" w:rsidTr="0006257A">
        <w:tc>
          <w:tcPr>
            <w:tcW w:w="2627" w:type="dxa"/>
          </w:tcPr>
          <w:p w14:paraId="14DEA6BE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949" w:type="dxa"/>
          </w:tcPr>
          <w:p w14:paraId="14DEA6BF" w14:textId="1CA1DBEB" w:rsidR="00787D45" w:rsidRPr="001D6BEA" w:rsidRDefault="0006257A" w:rsidP="0006257A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14DEA6C3" w14:textId="77777777" w:rsidTr="0006257A">
        <w:tc>
          <w:tcPr>
            <w:tcW w:w="2627" w:type="dxa"/>
          </w:tcPr>
          <w:p w14:paraId="14DEA6C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949" w:type="dxa"/>
          </w:tcPr>
          <w:p w14:paraId="14DEA6C2" w14:textId="77777777" w:rsidR="00AD706B" w:rsidRDefault="00AD706B" w:rsidP="00CD7069">
            <w:pPr>
              <w:pStyle w:val="NoSpacing"/>
            </w:pPr>
            <w:r>
              <w:t>Ambulatory</w:t>
            </w:r>
          </w:p>
        </w:tc>
      </w:tr>
      <w:tr w:rsidR="00AD706B" w14:paraId="14DEA6C6" w14:textId="77777777" w:rsidTr="0006257A">
        <w:tc>
          <w:tcPr>
            <w:tcW w:w="2627" w:type="dxa"/>
          </w:tcPr>
          <w:p w14:paraId="14DEA6C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949" w:type="dxa"/>
          </w:tcPr>
          <w:p w14:paraId="14DEA6C5" w14:textId="77777777" w:rsidR="00AD706B" w:rsidRDefault="00AF3A3D" w:rsidP="00AF3A3D">
            <w:pPr>
              <w:pStyle w:val="NoSpacing"/>
            </w:pPr>
            <w:r>
              <w:t>Administ</w:t>
            </w:r>
            <w:r w:rsidR="00AC6858">
              <w:t>rative/Clinical data sources</w:t>
            </w:r>
          </w:p>
        </w:tc>
      </w:tr>
      <w:tr w:rsidR="0006257A" w14:paraId="14DEA6E5" w14:textId="77777777" w:rsidTr="0006257A">
        <w:tc>
          <w:tcPr>
            <w:tcW w:w="2627" w:type="dxa"/>
          </w:tcPr>
          <w:p w14:paraId="14DEA6C7" w14:textId="087E7EA5" w:rsidR="0006257A" w:rsidRPr="00717546" w:rsidRDefault="0006257A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949" w:type="dxa"/>
          </w:tcPr>
          <w:p w14:paraId="0E0E8E50" w14:textId="77777777" w:rsidR="0006257A" w:rsidRDefault="0006257A" w:rsidP="001967CC">
            <w:pPr>
              <w:pStyle w:val="NoSpacing"/>
            </w:pPr>
            <w:r>
              <w:t>All denominator subsets are permissible for this outcome</w:t>
            </w:r>
          </w:p>
          <w:p w14:paraId="14DEA6E4" w14:textId="4DF86A2E" w:rsidR="0006257A" w:rsidRDefault="0006257A" w:rsidP="007F7C07">
            <w:pPr>
              <w:pStyle w:val="NoSpacing"/>
            </w:pPr>
            <w:r>
              <w:t> </w:t>
            </w:r>
          </w:p>
        </w:tc>
      </w:tr>
    </w:tbl>
    <w:p w14:paraId="14DEA733" w14:textId="77777777" w:rsidR="00356CF4" w:rsidRPr="008F249E" w:rsidRDefault="00356CF4" w:rsidP="007C7C85">
      <w:pPr>
        <w:pStyle w:val="Heading2"/>
      </w:pPr>
    </w:p>
    <w:sectPr w:rsidR="00356CF4" w:rsidRPr="008F249E" w:rsidSect="008430B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EA740" w14:textId="77777777" w:rsidR="00433085" w:rsidRDefault="00433085" w:rsidP="00F63191">
      <w:pPr>
        <w:spacing w:after="0" w:line="240" w:lineRule="auto"/>
      </w:pPr>
      <w:r>
        <w:separator/>
      </w:r>
    </w:p>
  </w:endnote>
  <w:endnote w:type="continuationSeparator" w:id="0">
    <w:p w14:paraId="14DEA741" w14:textId="77777777" w:rsidR="00433085" w:rsidRDefault="00433085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4D08" w14:textId="435B7379" w:rsidR="0006257A" w:rsidRDefault="0006257A">
    <w:pPr>
      <w:pStyle w:val="Footer"/>
    </w:pPr>
    <w:r>
      <w:t>09/</w:t>
    </w:r>
    <w:r w:rsidR="00613251">
      <w:t>25</w:t>
    </w:r>
    <w:r>
      <w:t>/14</w:t>
    </w:r>
  </w:p>
  <w:p w14:paraId="14DEA74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A73E" w14:textId="77777777" w:rsidR="00433085" w:rsidRDefault="00433085" w:rsidP="00F63191">
      <w:pPr>
        <w:spacing w:after="0" w:line="240" w:lineRule="auto"/>
      </w:pPr>
      <w:r>
        <w:separator/>
      </w:r>
    </w:p>
  </w:footnote>
  <w:footnote w:type="continuationSeparator" w:id="0">
    <w:p w14:paraId="14DEA73F" w14:textId="77777777" w:rsidR="00433085" w:rsidRDefault="00433085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A742" w14:textId="035046DE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6257A"/>
    <w:rsid w:val="000929C7"/>
    <w:rsid w:val="000C575F"/>
    <w:rsid w:val="000D1199"/>
    <w:rsid w:val="000D1716"/>
    <w:rsid w:val="000D5A2D"/>
    <w:rsid w:val="000E7EED"/>
    <w:rsid w:val="00100A2F"/>
    <w:rsid w:val="00107C1A"/>
    <w:rsid w:val="0011709A"/>
    <w:rsid w:val="0013490B"/>
    <w:rsid w:val="00137F8D"/>
    <w:rsid w:val="00165D76"/>
    <w:rsid w:val="00192793"/>
    <w:rsid w:val="001D6BEA"/>
    <w:rsid w:val="002224F0"/>
    <w:rsid w:val="00245754"/>
    <w:rsid w:val="00271E53"/>
    <w:rsid w:val="002845C2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B3CDA"/>
    <w:rsid w:val="003F4E8D"/>
    <w:rsid w:val="00416E44"/>
    <w:rsid w:val="00433085"/>
    <w:rsid w:val="00502BE4"/>
    <w:rsid w:val="00506BC5"/>
    <w:rsid w:val="00535150"/>
    <w:rsid w:val="00536799"/>
    <w:rsid w:val="00561D6D"/>
    <w:rsid w:val="005802A0"/>
    <w:rsid w:val="005857E6"/>
    <w:rsid w:val="005A6630"/>
    <w:rsid w:val="005B79DD"/>
    <w:rsid w:val="005C70A1"/>
    <w:rsid w:val="005F4D43"/>
    <w:rsid w:val="00613251"/>
    <w:rsid w:val="006754EB"/>
    <w:rsid w:val="0070553A"/>
    <w:rsid w:val="007164C7"/>
    <w:rsid w:val="00743628"/>
    <w:rsid w:val="00760D27"/>
    <w:rsid w:val="00787D45"/>
    <w:rsid w:val="007C728B"/>
    <w:rsid w:val="007C7C85"/>
    <w:rsid w:val="007E0395"/>
    <w:rsid w:val="007E675F"/>
    <w:rsid w:val="007F675B"/>
    <w:rsid w:val="007F7C07"/>
    <w:rsid w:val="00823868"/>
    <w:rsid w:val="00824949"/>
    <w:rsid w:val="00827557"/>
    <w:rsid w:val="008430B5"/>
    <w:rsid w:val="008722BB"/>
    <w:rsid w:val="008779F5"/>
    <w:rsid w:val="0088642E"/>
    <w:rsid w:val="00886E0E"/>
    <w:rsid w:val="008A5405"/>
    <w:rsid w:val="008D1A8E"/>
    <w:rsid w:val="008F0411"/>
    <w:rsid w:val="008F249E"/>
    <w:rsid w:val="00911A48"/>
    <w:rsid w:val="00965A2A"/>
    <w:rsid w:val="00967948"/>
    <w:rsid w:val="00981EC7"/>
    <w:rsid w:val="00994A41"/>
    <w:rsid w:val="00996DD5"/>
    <w:rsid w:val="009C6EA3"/>
    <w:rsid w:val="009F04D0"/>
    <w:rsid w:val="009F78A7"/>
    <w:rsid w:val="009F7E66"/>
    <w:rsid w:val="00A11BD9"/>
    <w:rsid w:val="00A5678E"/>
    <w:rsid w:val="00A82574"/>
    <w:rsid w:val="00AC3A97"/>
    <w:rsid w:val="00AC6858"/>
    <w:rsid w:val="00AD706B"/>
    <w:rsid w:val="00AF3A3D"/>
    <w:rsid w:val="00B05CBF"/>
    <w:rsid w:val="00B20462"/>
    <w:rsid w:val="00B546CF"/>
    <w:rsid w:val="00B65D92"/>
    <w:rsid w:val="00B7257A"/>
    <w:rsid w:val="00B725E0"/>
    <w:rsid w:val="00BA61F1"/>
    <w:rsid w:val="00BC4643"/>
    <w:rsid w:val="00C01E6F"/>
    <w:rsid w:val="00C86C48"/>
    <w:rsid w:val="00C9758A"/>
    <w:rsid w:val="00CA2D3E"/>
    <w:rsid w:val="00CA4C08"/>
    <w:rsid w:val="00CC28BC"/>
    <w:rsid w:val="00CC6EE2"/>
    <w:rsid w:val="00CD7069"/>
    <w:rsid w:val="00CD781E"/>
    <w:rsid w:val="00CF376D"/>
    <w:rsid w:val="00D1777E"/>
    <w:rsid w:val="00D63CD3"/>
    <w:rsid w:val="00DB7651"/>
    <w:rsid w:val="00DD0AC1"/>
    <w:rsid w:val="00DE660A"/>
    <w:rsid w:val="00E3780B"/>
    <w:rsid w:val="00E43145"/>
    <w:rsid w:val="00E91E02"/>
    <w:rsid w:val="00EB6678"/>
    <w:rsid w:val="00EF333D"/>
    <w:rsid w:val="00F05C01"/>
    <w:rsid w:val="00F069C3"/>
    <w:rsid w:val="00F06C5E"/>
    <w:rsid w:val="00F20443"/>
    <w:rsid w:val="00F212F4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A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D0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D0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15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DD828-6EC4-4B9C-9A4E-B52B38BD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2014-09-25T19:18:00Z</dcterms:created>
  <dcterms:modified xsi:type="dcterms:W3CDTF">2014-09-25T19:18:00Z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