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408E" w14:textId="4A336142" w:rsidR="00AD706B" w:rsidRDefault="00AE01E9" w:rsidP="00AD706B">
      <w:pPr>
        <w:pStyle w:val="Heading1"/>
      </w:pPr>
      <w:r>
        <w:t>IT-4.</w:t>
      </w:r>
      <w:r w:rsidR="00043DBB">
        <w:t>9</w:t>
      </w:r>
      <w:r w:rsidR="00EB7647" w:rsidRPr="00EB7647">
        <w:t xml:space="preserve">:  </w:t>
      </w:r>
      <w:r w:rsidR="00043DBB" w:rsidRPr="00043DBB">
        <w:t xml:space="preserve">Average </w:t>
      </w:r>
      <w:r w:rsidR="00A2307F">
        <w:t>L</w:t>
      </w:r>
      <w:r w:rsidR="00043DBB" w:rsidRPr="00043DBB">
        <w:t xml:space="preserve">ength of </w:t>
      </w:r>
      <w:r w:rsidR="00A2307F">
        <w:t>S</w:t>
      </w:r>
      <w:r w:rsidR="00043DBB" w:rsidRPr="00043DBB">
        <w:t>tay: Sepsis</w:t>
      </w:r>
    </w:p>
    <w:tbl>
      <w:tblPr>
        <w:tblStyle w:val="TableGrid"/>
        <w:tblW w:w="0" w:type="auto"/>
        <w:tblLook w:val="04A0" w:firstRow="1" w:lastRow="0" w:firstColumn="1" w:lastColumn="0" w:noHBand="0" w:noVBand="1"/>
      </w:tblPr>
      <w:tblGrid>
        <w:gridCol w:w="2718"/>
        <w:gridCol w:w="2286"/>
        <w:gridCol w:w="2286"/>
        <w:gridCol w:w="2286"/>
      </w:tblGrid>
      <w:tr w:rsidR="00AD706B" w14:paraId="319B4091" w14:textId="77777777" w:rsidTr="0011709A">
        <w:trPr>
          <w:tblHeader/>
        </w:trPr>
        <w:tc>
          <w:tcPr>
            <w:tcW w:w="2718" w:type="dxa"/>
            <w:shd w:val="clear" w:color="auto" w:fill="F2F2F2" w:themeFill="background1" w:themeFillShade="F2"/>
          </w:tcPr>
          <w:p w14:paraId="319B408F" w14:textId="77777777" w:rsidR="00AD706B" w:rsidRPr="00717546" w:rsidRDefault="00AD706B" w:rsidP="00A374B8">
            <w:pPr>
              <w:pStyle w:val="NoSpacing"/>
              <w:rPr>
                <w:b/>
              </w:rPr>
            </w:pPr>
            <w:r w:rsidRPr="00717546">
              <w:rPr>
                <w:b/>
              </w:rPr>
              <w:t>Measure Title</w:t>
            </w:r>
          </w:p>
        </w:tc>
        <w:tc>
          <w:tcPr>
            <w:tcW w:w="6858" w:type="dxa"/>
            <w:gridSpan w:val="3"/>
            <w:shd w:val="clear" w:color="auto" w:fill="F2F2F2" w:themeFill="background1" w:themeFillShade="F2"/>
          </w:tcPr>
          <w:p w14:paraId="319B4090" w14:textId="0F23D127" w:rsidR="00AD706B" w:rsidRPr="008779F5" w:rsidRDefault="00A2307F" w:rsidP="00B05CBF">
            <w:pPr>
              <w:pStyle w:val="NoSpacing"/>
              <w:rPr>
                <w:b/>
              </w:rPr>
            </w:pPr>
            <w:r w:rsidRPr="00A2307F">
              <w:rPr>
                <w:b/>
              </w:rPr>
              <w:t>Average length of stay: Sepsis</w:t>
            </w:r>
          </w:p>
        </w:tc>
      </w:tr>
      <w:tr w:rsidR="00AD706B" w14:paraId="319B4094" w14:textId="77777777" w:rsidTr="00A374B8">
        <w:tc>
          <w:tcPr>
            <w:tcW w:w="2718" w:type="dxa"/>
          </w:tcPr>
          <w:p w14:paraId="319B4092" w14:textId="77777777" w:rsidR="00AD706B" w:rsidRPr="00717546" w:rsidRDefault="00AD706B" w:rsidP="00A374B8">
            <w:pPr>
              <w:pStyle w:val="NoSpacing"/>
              <w:rPr>
                <w:b/>
              </w:rPr>
            </w:pPr>
            <w:r w:rsidRPr="00717546">
              <w:rPr>
                <w:b/>
              </w:rPr>
              <w:t>Description</w:t>
            </w:r>
          </w:p>
        </w:tc>
        <w:tc>
          <w:tcPr>
            <w:tcW w:w="6858" w:type="dxa"/>
            <w:gridSpan w:val="3"/>
          </w:tcPr>
          <w:p w14:paraId="319B4093" w14:textId="72458621" w:rsidR="005D0DD4" w:rsidRPr="00651532" w:rsidRDefault="00A2307F" w:rsidP="00A2307F">
            <w:pPr>
              <w:pStyle w:val="NoSpacing"/>
            </w:pPr>
            <w:r w:rsidRPr="00A2307F">
              <w:t xml:space="preserve">Average length of </w:t>
            </w:r>
            <w:r>
              <w:t>s</w:t>
            </w:r>
            <w:r w:rsidRPr="00A2307F">
              <w:t>tay for Sepsis related diagnosis.</w:t>
            </w:r>
          </w:p>
        </w:tc>
      </w:tr>
      <w:tr w:rsidR="00AD706B" w14:paraId="319B4097" w14:textId="77777777" w:rsidTr="00A374B8">
        <w:tc>
          <w:tcPr>
            <w:tcW w:w="2718" w:type="dxa"/>
          </w:tcPr>
          <w:p w14:paraId="319B4095" w14:textId="77777777" w:rsidR="00AD706B" w:rsidRPr="00717546" w:rsidRDefault="00AD706B" w:rsidP="00A374B8">
            <w:pPr>
              <w:pStyle w:val="NoSpacing"/>
              <w:rPr>
                <w:b/>
              </w:rPr>
            </w:pPr>
            <w:r w:rsidRPr="00717546">
              <w:rPr>
                <w:b/>
              </w:rPr>
              <w:t>NQF Number</w:t>
            </w:r>
          </w:p>
        </w:tc>
        <w:tc>
          <w:tcPr>
            <w:tcW w:w="6858" w:type="dxa"/>
            <w:gridSpan w:val="3"/>
          </w:tcPr>
          <w:p w14:paraId="319B4096" w14:textId="344098CA" w:rsidR="00AD706B" w:rsidRDefault="00A2307F" w:rsidP="00A2307F">
            <w:pPr>
              <w:pStyle w:val="NoSpacing"/>
            </w:pPr>
            <w:r>
              <w:t>Not Applicable</w:t>
            </w:r>
          </w:p>
        </w:tc>
      </w:tr>
      <w:tr w:rsidR="00AD706B" w14:paraId="319B409A" w14:textId="77777777" w:rsidTr="003438C3">
        <w:trPr>
          <w:trHeight w:val="197"/>
        </w:trPr>
        <w:tc>
          <w:tcPr>
            <w:tcW w:w="2718" w:type="dxa"/>
          </w:tcPr>
          <w:p w14:paraId="319B4098" w14:textId="77777777" w:rsidR="00AD706B" w:rsidRPr="00717546" w:rsidRDefault="00AD706B" w:rsidP="00A374B8">
            <w:pPr>
              <w:pStyle w:val="NoSpacing"/>
              <w:rPr>
                <w:b/>
              </w:rPr>
            </w:pPr>
            <w:r>
              <w:rPr>
                <w:b/>
              </w:rPr>
              <w:t>Measure Steward</w:t>
            </w:r>
          </w:p>
        </w:tc>
        <w:tc>
          <w:tcPr>
            <w:tcW w:w="6858" w:type="dxa"/>
            <w:gridSpan w:val="3"/>
          </w:tcPr>
          <w:p w14:paraId="319B4099" w14:textId="73DDC758" w:rsidR="00AD706B" w:rsidRPr="00631E85" w:rsidRDefault="00A2307F" w:rsidP="00033A31">
            <w:pPr>
              <w:pStyle w:val="NoSpacing"/>
            </w:pPr>
            <w:r>
              <w:t>Leapfrog Group</w:t>
            </w:r>
          </w:p>
        </w:tc>
      </w:tr>
      <w:tr w:rsidR="00AD706B" w14:paraId="319B409D" w14:textId="77777777" w:rsidTr="00A374B8">
        <w:tc>
          <w:tcPr>
            <w:tcW w:w="2718" w:type="dxa"/>
          </w:tcPr>
          <w:p w14:paraId="319B409B" w14:textId="77777777" w:rsidR="00AD706B" w:rsidRDefault="00AD706B" w:rsidP="00A374B8">
            <w:pPr>
              <w:pStyle w:val="NoSpacing"/>
              <w:rPr>
                <w:b/>
              </w:rPr>
            </w:pPr>
            <w:r>
              <w:rPr>
                <w:b/>
              </w:rPr>
              <w:t>Link to measure citation</w:t>
            </w:r>
          </w:p>
        </w:tc>
        <w:tc>
          <w:tcPr>
            <w:tcW w:w="6858" w:type="dxa"/>
            <w:gridSpan w:val="3"/>
          </w:tcPr>
          <w:p w14:paraId="319B409C" w14:textId="29097F11" w:rsidR="00AD706B" w:rsidRPr="00631E85" w:rsidRDefault="00A2307F" w:rsidP="00A2307F">
            <w:pPr>
              <w:pStyle w:val="NoSpacing"/>
            </w:pPr>
            <w:r>
              <w:t>Not Available</w:t>
            </w:r>
            <w:r w:rsidR="00D156A2">
              <w:t xml:space="preserve"> </w:t>
            </w:r>
          </w:p>
        </w:tc>
      </w:tr>
      <w:tr w:rsidR="00AD706B" w14:paraId="319B40A0" w14:textId="77777777" w:rsidTr="00A374B8">
        <w:tc>
          <w:tcPr>
            <w:tcW w:w="2718" w:type="dxa"/>
          </w:tcPr>
          <w:p w14:paraId="319B409E" w14:textId="77777777" w:rsidR="00AD706B" w:rsidRDefault="00AD706B" w:rsidP="00A374B8">
            <w:pPr>
              <w:pStyle w:val="NoSpacing"/>
              <w:rPr>
                <w:b/>
              </w:rPr>
            </w:pPr>
            <w:r>
              <w:rPr>
                <w:b/>
              </w:rPr>
              <w:t>Measure type</w:t>
            </w:r>
          </w:p>
        </w:tc>
        <w:tc>
          <w:tcPr>
            <w:tcW w:w="6858" w:type="dxa"/>
            <w:gridSpan w:val="3"/>
          </w:tcPr>
          <w:p w14:paraId="319B409F" w14:textId="77777777" w:rsidR="00AD706B" w:rsidRDefault="00043DBB" w:rsidP="00AD706B">
            <w:pPr>
              <w:pStyle w:val="NoSpacing"/>
            </w:pPr>
            <w:r>
              <w:t>Non Stand-Alone (NSA)</w:t>
            </w:r>
          </w:p>
        </w:tc>
      </w:tr>
      <w:tr w:rsidR="00AD706B" w14:paraId="319B40A3" w14:textId="77777777" w:rsidTr="00A374B8">
        <w:tc>
          <w:tcPr>
            <w:tcW w:w="2718" w:type="dxa"/>
          </w:tcPr>
          <w:p w14:paraId="319B40A1" w14:textId="77777777" w:rsidR="00AD706B" w:rsidRDefault="00AD706B" w:rsidP="00A374B8">
            <w:pPr>
              <w:pStyle w:val="NoSpacing"/>
              <w:rPr>
                <w:b/>
              </w:rPr>
            </w:pPr>
            <w:r>
              <w:rPr>
                <w:b/>
              </w:rPr>
              <w:t>Measure status</w:t>
            </w:r>
          </w:p>
        </w:tc>
        <w:tc>
          <w:tcPr>
            <w:tcW w:w="6858" w:type="dxa"/>
            <w:gridSpan w:val="3"/>
          </w:tcPr>
          <w:p w14:paraId="319B40A2" w14:textId="434865FF" w:rsidR="00AD706B" w:rsidRDefault="00AB1999" w:rsidP="00B525C9">
            <w:pPr>
              <w:pStyle w:val="NoSpacing"/>
            </w:pPr>
            <w:r>
              <w:t>P4R</w:t>
            </w:r>
            <w:r w:rsidR="00E72F21">
              <w:t xml:space="preserve">. </w:t>
            </w:r>
            <w:r w:rsidR="00B525C9">
              <w:t xml:space="preserve"> </w:t>
            </w:r>
            <w:r w:rsidR="00B525C9">
              <w:t>This measure requires prior authorization for use</w:t>
            </w:r>
          </w:p>
        </w:tc>
      </w:tr>
      <w:tr w:rsidR="00AD706B" w14:paraId="319B40A6" w14:textId="77777777" w:rsidTr="00A374B8">
        <w:tc>
          <w:tcPr>
            <w:tcW w:w="2718" w:type="dxa"/>
          </w:tcPr>
          <w:p w14:paraId="319B40A4" w14:textId="77777777" w:rsidR="00AD706B" w:rsidRPr="00717546" w:rsidRDefault="00AD706B" w:rsidP="00A374B8">
            <w:pPr>
              <w:pStyle w:val="NoSpacing"/>
              <w:rPr>
                <w:b/>
              </w:rPr>
            </w:pPr>
            <w:r>
              <w:rPr>
                <w:b/>
              </w:rPr>
              <w:t>DSRIP-specific modifications to Measure Steward’s specification</w:t>
            </w:r>
          </w:p>
        </w:tc>
        <w:tc>
          <w:tcPr>
            <w:tcW w:w="6858" w:type="dxa"/>
            <w:gridSpan w:val="3"/>
          </w:tcPr>
          <w:p w14:paraId="1765D744" w14:textId="2878CFA8" w:rsidR="009F78A7" w:rsidRDefault="00A2307F" w:rsidP="00861788">
            <w:pPr>
              <w:pStyle w:val="NoSpacing"/>
            </w:pPr>
            <w:r w:rsidRPr="00A2307F">
              <w:t>The Measure Steward’s specification has been modified as follows:</w:t>
            </w:r>
          </w:p>
          <w:p w14:paraId="319B40A5" w14:textId="09AE9EC2" w:rsidR="00A2307F" w:rsidRDefault="00A2307F" w:rsidP="00727991">
            <w:pPr>
              <w:pStyle w:val="NoSpacing"/>
              <w:numPr>
                <w:ilvl w:val="0"/>
                <w:numId w:val="11"/>
              </w:numPr>
            </w:pPr>
            <w:r w:rsidRPr="00A2307F">
              <w:t>Modeled after average length of stay calculation, but specific to sepsis disease</w:t>
            </w:r>
            <w:r>
              <w:t>.</w:t>
            </w:r>
            <w:bookmarkStart w:id="0" w:name="_GoBack"/>
            <w:bookmarkEnd w:id="0"/>
          </w:p>
        </w:tc>
      </w:tr>
      <w:tr w:rsidR="00AD706B" w14:paraId="319B40A9" w14:textId="77777777" w:rsidTr="00A374B8">
        <w:tc>
          <w:tcPr>
            <w:tcW w:w="2718" w:type="dxa"/>
          </w:tcPr>
          <w:p w14:paraId="319B40A7" w14:textId="3882AA0E"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gridSpan w:val="3"/>
          </w:tcPr>
          <w:p w14:paraId="319B40A8" w14:textId="73CDBD98" w:rsidR="00AD706B" w:rsidRPr="009F7E66" w:rsidRDefault="00A2307F" w:rsidP="001D6BEA">
            <w:pPr>
              <w:pStyle w:val="NoSpacing"/>
            </w:pPr>
            <w:r w:rsidRPr="00A2307F">
              <w:t>Total number of patients diagnosed with severe sepsis, septic shock, and/or lactate&gt;4mmol/L (36mg/dl).</w:t>
            </w:r>
          </w:p>
        </w:tc>
      </w:tr>
      <w:tr w:rsidR="00787D45" w14:paraId="319B40AC" w14:textId="77777777" w:rsidTr="00B05CBF">
        <w:trPr>
          <w:trHeight w:val="728"/>
        </w:trPr>
        <w:tc>
          <w:tcPr>
            <w:tcW w:w="2718" w:type="dxa"/>
          </w:tcPr>
          <w:p w14:paraId="319B40AA" w14:textId="77777777" w:rsidR="00787D45" w:rsidRPr="00717546" w:rsidRDefault="00787D45" w:rsidP="00C01E6F">
            <w:pPr>
              <w:pStyle w:val="NoSpacing"/>
              <w:rPr>
                <w:b/>
              </w:rPr>
            </w:pPr>
            <w:r>
              <w:rPr>
                <w:b/>
              </w:rPr>
              <w:t>Denominator Inclusions</w:t>
            </w:r>
          </w:p>
        </w:tc>
        <w:tc>
          <w:tcPr>
            <w:tcW w:w="6858" w:type="dxa"/>
            <w:gridSpan w:val="3"/>
          </w:tcPr>
          <w:p w14:paraId="319B40AB" w14:textId="77777777" w:rsidR="00787D45" w:rsidRPr="0012650D" w:rsidRDefault="003F614D" w:rsidP="00651532">
            <w:pPr>
              <w:pStyle w:val="NoSpacing"/>
              <w:rPr>
                <w:b/>
              </w:rPr>
            </w:pPr>
            <w:r>
              <w:t>The Measure Steward does not identify specific denominator inclusions beyond what is described in the denominator description.</w:t>
            </w:r>
          </w:p>
        </w:tc>
      </w:tr>
      <w:tr w:rsidR="00787D45" w14:paraId="319B40B9" w14:textId="77777777" w:rsidTr="00B05CBF">
        <w:trPr>
          <w:trHeight w:val="710"/>
        </w:trPr>
        <w:tc>
          <w:tcPr>
            <w:tcW w:w="2718" w:type="dxa"/>
          </w:tcPr>
          <w:p w14:paraId="319B40AD" w14:textId="77777777" w:rsidR="00787D45" w:rsidRPr="00717546" w:rsidRDefault="00787D45" w:rsidP="00C01E6F">
            <w:pPr>
              <w:pStyle w:val="NoSpacing"/>
              <w:rPr>
                <w:b/>
              </w:rPr>
            </w:pPr>
            <w:r>
              <w:rPr>
                <w:b/>
              </w:rPr>
              <w:t>Denominator Exclusions</w:t>
            </w:r>
          </w:p>
        </w:tc>
        <w:tc>
          <w:tcPr>
            <w:tcW w:w="6858" w:type="dxa"/>
            <w:gridSpan w:val="3"/>
          </w:tcPr>
          <w:p w14:paraId="319B40AE" w14:textId="77777777" w:rsidR="00466DDB" w:rsidRDefault="00466DDB" w:rsidP="00466DDB">
            <w:pPr>
              <w:pStyle w:val="NoSpacing"/>
            </w:pPr>
            <w:r>
              <w:t>A) Patients with advanced directives for comfort care are excluded.</w:t>
            </w:r>
          </w:p>
          <w:p w14:paraId="319B40AF" w14:textId="77777777" w:rsidR="00466DDB" w:rsidRDefault="00466DDB" w:rsidP="00466DDB">
            <w:pPr>
              <w:pStyle w:val="NoSpacing"/>
            </w:pPr>
          </w:p>
          <w:p w14:paraId="319B40B0" w14:textId="77777777" w:rsidR="00466DDB" w:rsidRDefault="00466DDB" w:rsidP="00466DDB">
            <w:pPr>
              <w:pStyle w:val="NoSpacing"/>
            </w:pPr>
            <w:r>
              <w:t>B) Clinical conditions that preclude total measure completion should be excluded (e.g. mortality within the first 6 hours of presentation as defined above in 2a1.1).</w:t>
            </w:r>
          </w:p>
          <w:p w14:paraId="319B40B1" w14:textId="77777777" w:rsidR="00466DDB" w:rsidRDefault="00466DDB" w:rsidP="00466DDB">
            <w:pPr>
              <w:pStyle w:val="NoSpacing"/>
            </w:pPr>
          </w:p>
          <w:p w14:paraId="319B40B2" w14:textId="77777777" w:rsidR="00466DDB" w:rsidRDefault="00466DDB" w:rsidP="00466DDB">
            <w:pPr>
              <w:pStyle w:val="NoSpacing"/>
            </w:pPr>
            <w:r>
              <w:t xml:space="preserve">C) Patients for whom a central line is clinically contraindicated (e.g. coagulopathy that cannot be corrected, inadequate internal jugular or subclavian central venous access due to repeated </w:t>
            </w:r>
            <w:proofErr w:type="spellStart"/>
            <w:r>
              <w:t>cannulations</w:t>
            </w:r>
            <w:proofErr w:type="spellEnd"/>
            <w:r>
              <w:t>).</w:t>
            </w:r>
          </w:p>
          <w:p w14:paraId="319B40B3" w14:textId="77777777" w:rsidR="00466DDB" w:rsidRDefault="00466DDB" w:rsidP="00466DDB">
            <w:pPr>
              <w:pStyle w:val="NoSpacing"/>
            </w:pPr>
          </w:p>
          <w:p w14:paraId="319B40B4" w14:textId="77777777" w:rsidR="00466DDB" w:rsidRDefault="00466DDB" w:rsidP="00466DDB">
            <w:pPr>
              <w:pStyle w:val="NoSpacing"/>
            </w:pPr>
            <w:r>
              <w:t>D) Patients for whom a central line was attempted but could not be successfully inserted.</w:t>
            </w:r>
          </w:p>
          <w:p w14:paraId="319B40B5" w14:textId="77777777" w:rsidR="00466DDB" w:rsidRDefault="00466DDB" w:rsidP="00466DDB">
            <w:pPr>
              <w:pStyle w:val="NoSpacing"/>
            </w:pPr>
          </w:p>
          <w:p w14:paraId="319B40B6" w14:textId="77777777" w:rsidR="00466DDB" w:rsidRDefault="00466DDB" w:rsidP="00466DDB">
            <w:pPr>
              <w:pStyle w:val="NoSpacing"/>
            </w:pPr>
            <w:r>
              <w:t>E) Patient or surrogate decision maker declined or is unwilling to consent to such therapies or central line placement.</w:t>
            </w:r>
          </w:p>
          <w:p w14:paraId="319B40B7" w14:textId="77777777" w:rsidR="00466DDB" w:rsidRDefault="00466DDB" w:rsidP="00466DDB">
            <w:pPr>
              <w:pStyle w:val="NoSpacing"/>
            </w:pPr>
          </w:p>
          <w:p w14:paraId="319B40B8" w14:textId="77777777" w:rsidR="00787D45" w:rsidRPr="001D6BEA" w:rsidRDefault="00466DDB" w:rsidP="00466DDB">
            <w:pPr>
              <w:pStyle w:val="NoSpacing"/>
            </w:pPr>
            <w:r>
              <w:t>F) Patients transferred to an acute care facility from another acute care facility.</w:t>
            </w:r>
          </w:p>
        </w:tc>
      </w:tr>
      <w:tr w:rsidR="00D63CD3" w14:paraId="319B40BF" w14:textId="77777777" w:rsidTr="00A374B8">
        <w:tc>
          <w:tcPr>
            <w:tcW w:w="2718" w:type="dxa"/>
          </w:tcPr>
          <w:p w14:paraId="319B40BA" w14:textId="77777777" w:rsidR="00D63CD3" w:rsidRDefault="00D63CD3" w:rsidP="00AF103E">
            <w:pPr>
              <w:pStyle w:val="NoSpacing"/>
              <w:rPr>
                <w:b/>
              </w:rPr>
            </w:pPr>
            <w:r>
              <w:rPr>
                <w:b/>
              </w:rPr>
              <w:t>Denominator Size</w:t>
            </w:r>
          </w:p>
        </w:tc>
        <w:tc>
          <w:tcPr>
            <w:tcW w:w="6858" w:type="dxa"/>
            <w:gridSpan w:val="3"/>
          </w:tcPr>
          <w:p w14:paraId="319B40BB"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319B40BC"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319B40BD"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319B40BE" w14:textId="77777777" w:rsidR="0032246B" w:rsidRPr="001D6BEA" w:rsidRDefault="0032246B" w:rsidP="00561D6D">
            <w:pPr>
              <w:pStyle w:val="NoSpacing"/>
              <w:numPr>
                <w:ilvl w:val="0"/>
                <w:numId w:val="8"/>
              </w:numPr>
            </w:pPr>
            <w:r>
              <w:lastRenderedPageBreak/>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319B40D2" w14:textId="77777777" w:rsidTr="00A374B8">
        <w:tc>
          <w:tcPr>
            <w:tcW w:w="2718" w:type="dxa"/>
          </w:tcPr>
          <w:p w14:paraId="319B40C0" w14:textId="77777777" w:rsidR="00AC3A97" w:rsidRPr="00717546" w:rsidRDefault="00AC3A97" w:rsidP="00AF103E">
            <w:pPr>
              <w:pStyle w:val="NoSpacing"/>
              <w:rPr>
                <w:b/>
              </w:rPr>
            </w:pPr>
            <w:r>
              <w:rPr>
                <w:b/>
              </w:rPr>
              <w:lastRenderedPageBreak/>
              <w:t xml:space="preserve">Numerator Description </w:t>
            </w:r>
          </w:p>
        </w:tc>
        <w:tc>
          <w:tcPr>
            <w:tcW w:w="6858" w:type="dxa"/>
            <w:gridSpan w:val="3"/>
          </w:tcPr>
          <w:p w14:paraId="319B40C1" w14:textId="2E23E17C" w:rsidR="00466DDB" w:rsidRDefault="00A2307F" w:rsidP="00466DDB">
            <w:pPr>
              <w:pStyle w:val="NoSpacing"/>
            </w:pPr>
            <w:r w:rsidRPr="00A2307F">
              <w:t>Total number of inpatient days for patients diagnosed with severe sepsis, septic shock, and/or lactate&gt;4mmol/L (36mg/dl).</w:t>
            </w:r>
          </w:p>
          <w:p w14:paraId="319B40D1" w14:textId="05A90E64" w:rsidR="00AC3A97" w:rsidRPr="009F7E66" w:rsidRDefault="00AC3A97" w:rsidP="00466DDB">
            <w:pPr>
              <w:pStyle w:val="NoSpacing"/>
            </w:pPr>
          </w:p>
        </w:tc>
      </w:tr>
      <w:tr w:rsidR="00787D45" w14:paraId="319B40D5" w14:textId="77777777" w:rsidTr="00A374B8">
        <w:tc>
          <w:tcPr>
            <w:tcW w:w="2718" w:type="dxa"/>
          </w:tcPr>
          <w:p w14:paraId="319B40D3" w14:textId="77777777" w:rsidR="00787D45" w:rsidRPr="00717546" w:rsidRDefault="00787D45" w:rsidP="00AF103E">
            <w:pPr>
              <w:pStyle w:val="NoSpacing"/>
              <w:rPr>
                <w:b/>
              </w:rPr>
            </w:pPr>
            <w:r>
              <w:rPr>
                <w:b/>
              </w:rPr>
              <w:t>Numerator Inclusions</w:t>
            </w:r>
          </w:p>
        </w:tc>
        <w:tc>
          <w:tcPr>
            <w:tcW w:w="6858" w:type="dxa"/>
            <w:gridSpan w:val="3"/>
          </w:tcPr>
          <w:p w14:paraId="319B40D4" w14:textId="77777777" w:rsidR="00787D45" w:rsidRPr="0012650D" w:rsidRDefault="003F614D" w:rsidP="00F81588">
            <w:pPr>
              <w:pStyle w:val="NoSpacing"/>
              <w:rPr>
                <w:b/>
              </w:rPr>
            </w:pPr>
            <w:r>
              <w:t>The Measure Steward does not identify specific numerator inclusions beyond what is described in the numerator description</w:t>
            </w:r>
          </w:p>
        </w:tc>
      </w:tr>
      <w:tr w:rsidR="00787D45" w14:paraId="319B40D8" w14:textId="77777777" w:rsidTr="00A374B8">
        <w:tc>
          <w:tcPr>
            <w:tcW w:w="2718" w:type="dxa"/>
          </w:tcPr>
          <w:p w14:paraId="319B40D6" w14:textId="77777777" w:rsidR="00787D45" w:rsidRPr="00717546" w:rsidRDefault="00787D45" w:rsidP="00AF103E">
            <w:pPr>
              <w:pStyle w:val="NoSpacing"/>
              <w:rPr>
                <w:b/>
              </w:rPr>
            </w:pPr>
            <w:r>
              <w:rPr>
                <w:b/>
              </w:rPr>
              <w:t>Numerator Exclusions</w:t>
            </w:r>
          </w:p>
        </w:tc>
        <w:tc>
          <w:tcPr>
            <w:tcW w:w="6858" w:type="dxa"/>
            <w:gridSpan w:val="3"/>
          </w:tcPr>
          <w:p w14:paraId="319B40D7" w14:textId="77777777" w:rsidR="00787D45" w:rsidRPr="001D6BEA" w:rsidRDefault="003F614D" w:rsidP="002F15E3">
            <w:pPr>
              <w:pStyle w:val="NoSpacing"/>
            </w:pPr>
            <w:r>
              <w:t>The Measure Steward does not identify specific numerator exclusions beyond what is described in the numerator description.</w:t>
            </w:r>
          </w:p>
        </w:tc>
      </w:tr>
      <w:tr w:rsidR="00AD706B" w14:paraId="319B40DB" w14:textId="77777777" w:rsidTr="00A374B8">
        <w:tc>
          <w:tcPr>
            <w:tcW w:w="2718" w:type="dxa"/>
          </w:tcPr>
          <w:p w14:paraId="319B40D9" w14:textId="77777777" w:rsidR="00AD706B" w:rsidRPr="00717546" w:rsidRDefault="00AD706B" w:rsidP="00A374B8">
            <w:pPr>
              <w:pStyle w:val="NoSpacing"/>
              <w:rPr>
                <w:b/>
              </w:rPr>
            </w:pPr>
            <w:r>
              <w:rPr>
                <w:b/>
              </w:rPr>
              <w:t>Setting</w:t>
            </w:r>
          </w:p>
        </w:tc>
        <w:tc>
          <w:tcPr>
            <w:tcW w:w="6858" w:type="dxa"/>
            <w:gridSpan w:val="3"/>
          </w:tcPr>
          <w:p w14:paraId="319B40DA" w14:textId="77777777" w:rsidR="00AD706B" w:rsidRDefault="00AD706B" w:rsidP="00CD7069">
            <w:pPr>
              <w:pStyle w:val="NoSpacing"/>
            </w:pPr>
            <w:r>
              <w:t>Inpatient</w:t>
            </w:r>
          </w:p>
        </w:tc>
      </w:tr>
      <w:tr w:rsidR="00AD706B" w14:paraId="319B40DE" w14:textId="77777777" w:rsidTr="00A374B8">
        <w:tc>
          <w:tcPr>
            <w:tcW w:w="2718" w:type="dxa"/>
          </w:tcPr>
          <w:p w14:paraId="319B40DC" w14:textId="77777777" w:rsidR="00AD706B" w:rsidRDefault="00AD706B" w:rsidP="00A374B8">
            <w:pPr>
              <w:pStyle w:val="NoSpacing"/>
              <w:rPr>
                <w:b/>
              </w:rPr>
            </w:pPr>
            <w:r>
              <w:rPr>
                <w:b/>
              </w:rPr>
              <w:t>Data Source</w:t>
            </w:r>
          </w:p>
        </w:tc>
        <w:tc>
          <w:tcPr>
            <w:tcW w:w="6858" w:type="dxa"/>
            <w:gridSpan w:val="3"/>
          </w:tcPr>
          <w:p w14:paraId="319B40DD" w14:textId="77777777" w:rsidR="00AD706B" w:rsidRDefault="00466DDB" w:rsidP="00AF3A3D">
            <w:pPr>
              <w:pStyle w:val="NoSpacing"/>
            </w:pPr>
            <w:r w:rsidRPr="00466DDB">
              <w:t>Electronic Clinical Data, Electronic Clinical Data: Electronic Health Record, Electronic Clinical Data: Registry, Paper Medical Records</w:t>
            </w:r>
          </w:p>
        </w:tc>
      </w:tr>
      <w:tr w:rsidR="00AD706B" w14:paraId="319B40FD" w14:textId="77777777" w:rsidTr="00A374B8">
        <w:tc>
          <w:tcPr>
            <w:tcW w:w="2718" w:type="dxa"/>
          </w:tcPr>
          <w:p w14:paraId="319B40DF"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6858" w:type="dxa"/>
            <w:gridSpan w:val="3"/>
          </w:tcPr>
          <w:p w14:paraId="319B40E0"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319B40E1" w14:textId="77777777" w:rsidR="00561D6D" w:rsidRDefault="00561D6D" w:rsidP="00A374B8">
            <w:pPr>
              <w:pStyle w:val="NoSpacing"/>
            </w:pPr>
          </w:p>
          <w:p w14:paraId="319B40E2"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319B40E3" w14:textId="77777777" w:rsidR="007F7C07" w:rsidRDefault="00416E44" w:rsidP="007F7C07">
            <w:pPr>
              <w:pStyle w:val="NoSpacing"/>
              <w:numPr>
                <w:ilvl w:val="0"/>
                <w:numId w:val="5"/>
              </w:numPr>
            </w:pPr>
            <w:r>
              <w:t>Medicaid</w:t>
            </w:r>
          </w:p>
          <w:p w14:paraId="319B40E4" w14:textId="77777777" w:rsidR="007F7C07" w:rsidRDefault="007F7C07" w:rsidP="007F7C07">
            <w:pPr>
              <w:pStyle w:val="NoSpacing"/>
              <w:numPr>
                <w:ilvl w:val="0"/>
                <w:numId w:val="5"/>
              </w:numPr>
            </w:pPr>
            <w:r>
              <w:t>Uninsured</w:t>
            </w:r>
            <w:r w:rsidR="00366D0B">
              <w:t>/Indigent</w:t>
            </w:r>
          </w:p>
          <w:p w14:paraId="319B40E5" w14:textId="77777777" w:rsidR="00366D0B" w:rsidRDefault="00366D0B" w:rsidP="007F7C07">
            <w:pPr>
              <w:pStyle w:val="NoSpacing"/>
              <w:numPr>
                <w:ilvl w:val="0"/>
                <w:numId w:val="5"/>
              </w:numPr>
            </w:pPr>
            <w:r>
              <w:t>Both: Medicaid and Uninsured/Indigent</w:t>
            </w:r>
          </w:p>
          <w:p w14:paraId="319B40E6" w14:textId="77777777" w:rsidR="000E7EED" w:rsidRDefault="000E7EED" w:rsidP="00A374B8">
            <w:pPr>
              <w:pStyle w:val="NoSpacing"/>
            </w:pPr>
          </w:p>
          <w:p w14:paraId="319B40E7"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319B40E8" w14:textId="77777777" w:rsidR="007F7C07" w:rsidRDefault="007F7C07" w:rsidP="007F7C07">
            <w:pPr>
              <w:pStyle w:val="NoSpacing"/>
              <w:numPr>
                <w:ilvl w:val="0"/>
                <w:numId w:val="6"/>
              </w:numPr>
            </w:pPr>
            <w:r>
              <w:t>Male</w:t>
            </w:r>
          </w:p>
          <w:p w14:paraId="319B40E9" w14:textId="77777777" w:rsidR="007F7C07" w:rsidRDefault="007F7C07" w:rsidP="007F7C07">
            <w:pPr>
              <w:pStyle w:val="NoSpacing"/>
              <w:numPr>
                <w:ilvl w:val="0"/>
                <w:numId w:val="6"/>
              </w:numPr>
            </w:pPr>
            <w:r>
              <w:t>Female</w:t>
            </w:r>
          </w:p>
          <w:p w14:paraId="319B40EA" w14:textId="77777777" w:rsidR="007F7C07" w:rsidRDefault="007F7C07" w:rsidP="00CA4C08">
            <w:pPr>
              <w:pStyle w:val="NoSpacing"/>
            </w:pPr>
          </w:p>
          <w:p w14:paraId="319B40EB"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319B40EC" w14:textId="77777777" w:rsidR="007F7C07" w:rsidRDefault="007F7C07" w:rsidP="007F7C07">
            <w:pPr>
              <w:pStyle w:val="NoSpacing"/>
              <w:numPr>
                <w:ilvl w:val="0"/>
                <w:numId w:val="7"/>
              </w:numPr>
            </w:pPr>
            <w:r>
              <w:t>White/Caucasian</w:t>
            </w:r>
          </w:p>
          <w:p w14:paraId="319B40ED" w14:textId="77777777" w:rsidR="007F7C07" w:rsidRDefault="007F7C07" w:rsidP="007F7C07">
            <w:pPr>
              <w:pStyle w:val="NoSpacing"/>
              <w:numPr>
                <w:ilvl w:val="0"/>
                <w:numId w:val="7"/>
              </w:numPr>
            </w:pPr>
            <w:r>
              <w:t>Black/African American</w:t>
            </w:r>
          </w:p>
          <w:p w14:paraId="319B40EE" w14:textId="77777777" w:rsidR="007F7C07" w:rsidRDefault="007F7C07" w:rsidP="007F7C07">
            <w:pPr>
              <w:pStyle w:val="NoSpacing"/>
              <w:numPr>
                <w:ilvl w:val="0"/>
                <w:numId w:val="7"/>
              </w:numPr>
            </w:pPr>
            <w:r>
              <w:t>Latino/Hispanic</w:t>
            </w:r>
          </w:p>
          <w:p w14:paraId="319B40EF" w14:textId="77777777" w:rsidR="007F7C07" w:rsidRDefault="007F7C07" w:rsidP="007F7C07">
            <w:pPr>
              <w:pStyle w:val="NoSpacing"/>
              <w:numPr>
                <w:ilvl w:val="0"/>
                <w:numId w:val="7"/>
              </w:numPr>
            </w:pPr>
            <w:r>
              <w:t>Asian</w:t>
            </w:r>
          </w:p>
          <w:p w14:paraId="319B40F0" w14:textId="77777777" w:rsidR="007F7C07" w:rsidRDefault="007F7C07" w:rsidP="007F7C07">
            <w:pPr>
              <w:pStyle w:val="NoSpacing"/>
              <w:numPr>
                <w:ilvl w:val="0"/>
                <w:numId w:val="7"/>
              </w:numPr>
            </w:pPr>
            <w:r>
              <w:t>American Indian/Alaskan Native</w:t>
            </w:r>
          </w:p>
          <w:p w14:paraId="319B40F1" w14:textId="77777777" w:rsidR="007F7C07" w:rsidRDefault="007F7C07" w:rsidP="007F7C07">
            <w:pPr>
              <w:pStyle w:val="NoSpacing"/>
              <w:numPr>
                <w:ilvl w:val="0"/>
                <w:numId w:val="7"/>
              </w:numPr>
            </w:pPr>
            <w:r>
              <w:t>Native Hawaiian/Other Pacific Islander</w:t>
            </w:r>
          </w:p>
          <w:p w14:paraId="319B40F2" w14:textId="77777777" w:rsidR="007F7C07" w:rsidRDefault="007F7C07" w:rsidP="00CA4C08">
            <w:pPr>
              <w:pStyle w:val="NoSpacing"/>
            </w:pPr>
          </w:p>
          <w:p w14:paraId="319B40F3" w14:textId="77777777" w:rsidR="007F7C07" w:rsidRDefault="007F7C07" w:rsidP="00CA4C08">
            <w:pPr>
              <w:pStyle w:val="NoSpacing"/>
            </w:pPr>
            <w:r w:rsidRPr="007F7C07">
              <w:rPr>
                <w:b/>
              </w:rPr>
              <w:t>Age:</w:t>
            </w:r>
            <w:r>
              <w:t xml:space="preserve"> Providers may define the denominator population such that it is limited to an age range:</w:t>
            </w:r>
          </w:p>
          <w:p w14:paraId="319B40F4" w14:textId="77777777" w:rsidR="007F7C07" w:rsidRDefault="007F7C07" w:rsidP="007F7C07">
            <w:pPr>
              <w:pStyle w:val="NoSpacing"/>
              <w:ind w:left="720"/>
            </w:pPr>
            <w:r>
              <w:t>Lower Bound: ____ (Provider defined)</w:t>
            </w:r>
          </w:p>
          <w:p w14:paraId="319B40F5" w14:textId="77777777" w:rsidR="007F7C07" w:rsidRDefault="007F7C07" w:rsidP="007F7C07">
            <w:pPr>
              <w:pStyle w:val="NoSpacing"/>
              <w:ind w:left="720"/>
            </w:pPr>
            <w:r>
              <w:t>Upper Bound: ____ (Provider defined)</w:t>
            </w:r>
          </w:p>
          <w:p w14:paraId="319B40F6" w14:textId="77777777" w:rsidR="00CA4C08" w:rsidRDefault="00CA4C08" w:rsidP="00CA4C08">
            <w:pPr>
              <w:pStyle w:val="NoSpacing"/>
            </w:pPr>
          </w:p>
          <w:p w14:paraId="3F31FC68" w14:textId="3291BAA7" w:rsidR="00B525C9" w:rsidRDefault="007F7C07" w:rsidP="00B525C9">
            <w:pPr>
              <w:pStyle w:val="NoSpacing"/>
            </w:pPr>
            <w:r>
              <w:rPr>
                <w:b/>
              </w:rPr>
              <w:lastRenderedPageBreak/>
              <w:t>Comorbid Condition</w:t>
            </w:r>
            <w:r w:rsidRPr="007F7C07">
              <w:rPr>
                <w:b/>
              </w:rPr>
              <w:t>:</w:t>
            </w:r>
            <w:r>
              <w:t xml:space="preserve"> </w:t>
            </w:r>
            <w:r w:rsidR="00B525C9">
              <w:t xml:space="preserve"> </w:t>
            </w:r>
            <w:r w:rsidR="00B525C9">
              <w:t>Providers may define the denominator population such that it is limited to individuals with one or more comorbid conditions:</w:t>
            </w:r>
          </w:p>
          <w:p w14:paraId="319B40F7" w14:textId="32D8EABC" w:rsidR="007F7C07" w:rsidRDefault="007F7C07" w:rsidP="007F7C07">
            <w:pPr>
              <w:pStyle w:val="NoSpacing"/>
            </w:pPr>
          </w:p>
          <w:p w14:paraId="319B40F8" w14:textId="77777777" w:rsidR="007F7C07" w:rsidRDefault="007F7C07" w:rsidP="00A82574">
            <w:pPr>
              <w:pStyle w:val="NoSpacing"/>
              <w:ind w:left="720"/>
            </w:pPr>
            <w:r>
              <w:t>Comorbid condition: ______________ (Provider defined)</w:t>
            </w:r>
          </w:p>
          <w:p w14:paraId="319B40F9" w14:textId="77777777" w:rsidR="007F7C07" w:rsidRDefault="007F7C07" w:rsidP="00CA4C08">
            <w:pPr>
              <w:pStyle w:val="NoSpacing"/>
            </w:pPr>
          </w:p>
          <w:p w14:paraId="319B40FA"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319B40FB" w14:textId="77777777" w:rsidR="007F7C07" w:rsidRDefault="007F7C07" w:rsidP="00A82574">
            <w:pPr>
              <w:pStyle w:val="NoSpacing"/>
              <w:ind w:left="720"/>
            </w:pPr>
            <w:r>
              <w:t xml:space="preserve">Service Setting/Delivery Location(s): ______________ (Provider defined) </w:t>
            </w:r>
          </w:p>
          <w:p w14:paraId="319B40FC" w14:textId="77777777" w:rsidR="00F927B0" w:rsidRDefault="00CA4C08" w:rsidP="007F7C07">
            <w:pPr>
              <w:pStyle w:val="NoSpacing"/>
            </w:pPr>
            <w:r>
              <w:t> </w:t>
            </w:r>
          </w:p>
        </w:tc>
      </w:tr>
      <w:tr w:rsidR="00AD706B" w14:paraId="319B4105" w14:textId="77777777" w:rsidTr="00A374B8">
        <w:tc>
          <w:tcPr>
            <w:tcW w:w="2718" w:type="dxa"/>
          </w:tcPr>
          <w:p w14:paraId="319B40FE" w14:textId="77777777" w:rsidR="00AD706B" w:rsidRDefault="00AD706B" w:rsidP="00A374B8">
            <w:pPr>
              <w:pStyle w:val="NoSpacing"/>
              <w:rPr>
                <w:b/>
              </w:rPr>
            </w:pPr>
            <w:r>
              <w:rPr>
                <w:b/>
              </w:rPr>
              <w:lastRenderedPageBreak/>
              <w:t>Demonstration Years</w:t>
            </w:r>
          </w:p>
        </w:tc>
        <w:tc>
          <w:tcPr>
            <w:tcW w:w="2286" w:type="dxa"/>
            <w:shd w:val="clear" w:color="auto" w:fill="D9D9D9" w:themeFill="background1" w:themeFillShade="D9"/>
          </w:tcPr>
          <w:p w14:paraId="319B40FF" w14:textId="77777777" w:rsidR="00AD706B" w:rsidRPr="0031250D" w:rsidRDefault="00AD706B" w:rsidP="00A374B8">
            <w:pPr>
              <w:pStyle w:val="NoSpacing"/>
              <w:jc w:val="center"/>
              <w:rPr>
                <w:b/>
              </w:rPr>
            </w:pPr>
            <w:r w:rsidRPr="0031250D">
              <w:rPr>
                <w:b/>
              </w:rPr>
              <w:t>DY3</w:t>
            </w:r>
          </w:p>
          <w:p w14:paraId="319B4100"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286" w:type="dxa"/>
            <w:shd w:val="clear" w:color="auto" w:fill="D9D9D9" w:themeFill="background1" w:themeFillShade="D9"/>
          </w:tcPr>
          <w:p w14:paraId="319B4101" w14:textId="77777777" w:rsidR="00AD706B" w:rsidRPr="0031250D" w:rsidRDefault="00AD706B" w:rsidP="00A374B8">
            <w:pPr>
              <w:pStyle w:val="NoSpacing"/>
              <w:jc w:val="center"/>
              <w:rPr>
                <w:b/>
              </w:rPr>
            </w:pPr>
            <w:r w:rsidRPr="0031250D">
              <w:rPr>
                <w:b/>
              </w:rPr>
              <w:t>DY4</w:t>
            </w:r>
          </w:p>
          <w:p w14:paraId="319B4102"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286" w:type="dxa"/>
            <w:shd w:val="clear" w:color="auto" w:fill="D9D9D9" w:themeFill="background1" w:themeFillShade="D9"/>
          </w:tcPr>
          <w:p w14:paraId="319B4103" w14:textId="77777777" w:rsidR="00AD706B" w:rsidRPr="0031250D" w:rsidRDefault="00AD706B" w:rsidP="00A374B8">
            <w:pPr>
              <w:pStyle w:val="NoSpacing"/>
              <w:jc w:val="center"/>
              <w:rPr>
                <w:b/>
              </w:rPr>
            </w:pPr>
            <w:r w:rsidRPr="0031250D">
              <w:rPr>
                <w:b/>
              </w:rPr>
              <w:t>DY5</w:t>
            </w:r>
          </w:p>
          <w:p w14:paraId="319B4104"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319B4117" w14:textId="77777777" w:rsidTr="00A374B8">
        <w:tc>
          <w:tcPr>
            <w:tcW w:w="2718" w:type="dxa"/>
          </w:tcPr>
          <w:p w14:paraId="319B4106" w14:textId="77777777" w:rsidR="00AD706B" w:rsidRDefault="00AD706B" w:rsidP="00A374B8">
            <w:pPr>
              <w:pStyle w:val="NoSpacing"/>
              <w:rPr>
                <w:b/>
              </w:rPr>
            </w:pPr>
            <w:r>
              <w:rPr>
                <w:b/>
              </w:rPr>
              <w:t>Measurement Periods</w:t>
            </w:r>
          </w:p>
          <w:p w14:paraId="319B4107" w14:textId="77777777" w:rsidR="007C728B" w:rsidRDefault="007C728B" w:rsidP="00A374B8">
            <w:pPr>
              <w:pStyle w:val="NoSpacing"/>
              <w:rPr>
                <w:b/>
              </w:rPr>
            </w:pPr>
          </w:p>
          <w:p w14:paraId="319B4108"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286" w:type="dxa"/>
          </w:tcPr>
          <w:p w14:paraId="08D9148E" w14:textId="64A8677B" w:rsidR="00727991" w:rsidRDefault="00727991" w:rsidP="00727991">
            <w:pPr>
              <w:pStyle w:val="NoSpacing"/>
              <w:rPr>
                <w:rFonts w:ascii="Calibri" w:hAnsi="Calibri"/>
                <w:b/>
                <w:bCs/>
              </w:rPr>
            </w:pPr>
            <w:r>
              <w:rPr>
                <w:b/>
                <w:bCs/>
              </w:rPr>
              <w:t xml:space="preserve"> </w:t>
            </w:r>
            <w:r>
              <w:rPr>
                <w:b/>
                <w:bCs/>
              </w:rPr>
              <w:t xml:space="preserve">Providers must report data for </w:t>
            </w:r>
            <w:r>
              <w:rPr>
                <w:b/>
                <w:bCs/>
                <w:u w:val="single"/>
              </w:rPr>
              <w:t>one</w:t>
            </w:r>
            <w:r>
              <w:rPr>
                <w:b/>
                <w:bCs/>
              </w:rPr>
              <w:t xml:space="preserve"> of the following DY, SFY, or CY time periods:</w:t>
            </w:r>
          </w:p>
          <w:p w14:paraId="0AF64CDA" w14:textId="77777777" w:rsidR="00727991" w:rsidRDefault="00727991" w:rsidP="00727991">
            <w:pPr>
              <w:pStyle w:val="NoSpacing"/>
            </w:pPr>
            <w:r>
              <w:rPr>
                <w:u w:val="single"/>
              </w:rPr>
              <w:t>12 Month Period</w:t>
            </w:r>
            <w:r>
              <w:t xml:space="preserve">: </w:t>
            </w:r>
          </w:p>
          <w:p w14:paraId="25EF02B1" w14:textId="77777777" w:rsidR="00727991" w:rsidRDefault="00727991" w:rsidP="00727991">
            <w:pPr>
              <w:pStyle w:val="NoSpacing"/>
              <w:numPr>
                <w:ilvl w:val="0"/>
                <w:numId w:val="12"/>
              </w:numPr>
              <w:ind w:left="504"/>
            </w:pPr>
            <w:r>
              <w:t xml:space="preserve">10/01/13 – 09/30/14, or </w:t>
            </w:r>
          </w:p>
          <w:p w14:paraId="5D46FC51" w14:textId="77777777" w:rsidR="00727991" w:rsidRDefault="00727991" w:rsidP="00727991">
            <w:pPr>
              <w:pStyle w:val="NoSpacing"/>
              <w:numPr>
                <w:ilvl w:val="0"/>
                <w:numId w:val="12"/>
              </w:numPr>
              <w:ind w:left="504"/>
            </w:pPr>
            <w:r>
              <w:t>09/01/13 – 08/31/14, or</w:t>
            </w:r>
          </w:p>
          <w:p w14:paraId="074A9C3A" w14:textId="77777777" w:rsidR="00727991" w:rsidRDefault="00727991" w:rsidP="00727991">
            <w:pPr>
              <w:pStyle w:val="NoSpacing"/>
              <w:numPr>
                <w:ilvl w:val="0"/>
                <w:numId w:val="12"/>
              </w:numPr>
              <w:ind w:left="504"/>
            </w:pPr>
            <w:r>
              <w:t>01/01/13 – 12/31/13, or</w:t>
            </w:r>
          </w:p>
          <w:p w14:paraId="545806A8" w14:textId="77777777" w:rsidR="00727991" w:rsidRDefault="00727991" w:rsidP="00727991">
            <w:pPr>
              <w:pStyle w:val="NoSpacing"/>
              <w:numPr>
                <w:ilvl w:val="0"/>
                <w:numId w:val="12"/>
              </w:numPr>
              <w:ind w:left="504"/>
            </w:pPr>
            <w:r>
              <w:t>10/01/12 – 09/30/13, or</w:t>
            </w:r>
          </w:p>
          <w:p w14:paraId="50042D9A" w14:textId="77777777" w:rsidR="00727991" w:rsidRDefault="00727991" w:rsidP="00727991">
            <w:pPr>
              <w:pStyle w:val="NoSpacing"/>
              <w:numPr>
                <w:ilvl w:val="0"/>
                <w:numId w:val="12"/>
              </w:numPr>
              <w:ind w:left="504"/>
            </w:pPr>
            <w:r>
              <w:t>09/01/12 – 08/31/13</w:t>
            </w:r>
          </w:p>
          <w:p w14:paraId="4B564D3A" w14:textId="77777777" w:rsidR="00727991" w:rsidRDefault="00727991" w:rsidP="00727991">
            <w:pPr>
              <w:pStyle w:val="NoSpacing"/>
            </w:pPr>
            <w:r>
              <w:rPr>
                <w:u w:val="single"/>
              </w:rPr>
              <w:t>6 Month Period</w:t>
            </w:r>
            <w:r>
              <w:t xml:space="preserve">: </w:t>
            </w:r>
          </w:p>
          <w:p w14:paraId="48DD9392" w14:textId="77777777" w:rsidR="00727991" w:rsidRDefault="00727991" w:rsidP="00727991">
            <w:pPr>
              <w:pStyle w:val="NoSpacing"/>
              <w:numPr>
                <w:ilvl w:val="0"/>
                <w:numId w:val="13"/>
              </w:numPr>
              <w:ind w:left="504"/>
            </w:pPr>
            <w:r>
              <w:t>04/01/14 – 09/30/14, or</w:t>
            </w:r>
          </w:p>
          <w:p w14:paraId="77731849" w14:textId="77777777" w:rsidR="00727991" w:rsidRDefault="00727991" w:rsidP="00727991">
            <w:pPr>
              <w:pStyle w:val="NoSpacing"/>
              <w:numPr>
                <w:ilvl w:val="0"/>
                <w:numId w:val="13"/>
              </w:numPr>
              <w:ind w:left="504"/>
            </w:pPr>
            <w:r>
              <w:t>03/01/13 – 08/31/14, or</w:t>
            </w:r>
          </w:p>
          <w:p w14:paraId="157796F7" w14:textId="77777777" w:rsidR="00727991" w:rsidRDefault="00727991" w:rsidP="00727991">
            <w:pPr>
              <w:pStyle w:val="NoSpacing"/>
              <w:numPr>
                <w:ilvl w:val="0"/>
                <w:numId w:val="13"/>
              </w:numPr>
              <w:ind w:left="504"/>
            </w:pPr>
            <w:r>
              <w:t>01/01/13 – 06/30/13, or</w:t>
            </w:r>
          </w:p>
          <w:p w14:paraId="27E751AE" w14:textId="77777777" w:rsidR="00727991" w:rsidRDefault="00727991" w:rsidP="00727991">
            <w:pPr>
              <w:pStyle w:val="NoSpacing"/>
              <w:numPr>
                <w:ilvl w:val="0"/>
                <w:numId w:val="13"/>
              </w:numPr>
              <w:ind w:left="504"/>
            </w:pPr>
            <w:r>
              <w:t>07/01/13 – 12/31/13</w:t>
            </w:r>
          </w:p>
          <w:p w14:paraId="319B410F" w14:textId="703552C8" w:rsidR="00886E0E" w:rsidRDefault="00727991" w:rsidP="00727991">
            <w:pPr>
              <w:pStyle w:val="NoSpacing"/>
            </w:pPr>
            <w:r>
              <w:rPr>
                <w:u w:val="single"/>
              </w:rPr>
              <w:t>Other</w:t>
            </w:r>
            <w:r>
              <w:t>: Providers specify/propose an alternative 6 or 12 month time period to be reviewed and approved by HHSC.</w:t>
            </w:r>
          </w:p>
          <w:p w14:paraId="319B4110" w14:textId="77777777" w:rsidR="00F05C01" w:rsidRDefault="00F05C01" w:rsidP="00886E0E">
            <w:pPr>
              <w:pStyle w:val="NoSpacing"/>
            </w:pPr>
          </w:p>
        </w:tc>
        <w:tc>
          <w:tcPr>
            <w:tcW w:w="2286" w:type="dxa"/>
          </w:tcPr>
          <w:p w14:paraId="319B4111" w14:textId="77777777" w:rsidR="00743628" w:rsidRDefault="00886E0E" w:rsidP="00886E0E">
            <w:pPr>
              <w:pStyle w:val="NoSpacing"/>
              <w:rPr>
                <w:b/>
              </w:rPr>
            </w:pPr>
            <w:r>
              <w:rPr>
                <w:b/>
              </w:rPr>
              <w:t>Providers</w:t>
            </w:r>
            <w:r w:rsidR="00743628">
              <w:rPr>
                <w:b/>
              </w:rPr>
              <w:t xml:space="preserve"> must report data across a 12-month time period that meets the following parameters:</w:t>
            </w:r>
          </w:p>
          <w:p w14:paraId="319B4112"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319B4113"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286" w:type="dxa"/>
          </w:tcPr>
          <w:p w14:paraId="319B4114" w14:textId="77777777" w:rsidR="00743628" w:rsidRDefault="00743628" w:rsidP="00743628">
            <w:pPr>
              <w:pStyle w:val="NoSpacing"/>
              <w:rPr>
                <w:b/>
              </w:rPr>
            </w:pPr>
            <w:r>
              <w:rPr>
                <w:b/>
              </w:rPr>
              <w:t>Providers must report data across a 12-month time period that meets the following parameters:</w:t>
            </w:r>
          </w:p>
          <w:p w14:paraId="319B4115"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319B4116"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319B411E" w14:textId="77777777" w:rsidTr="00A374B8">
        <w:tc>
          <w:tcPr>
            <w:tcW w:w="2718" w:type="dxa"/>
          </w:tcPr>
          <w:p w14:paraId="319B4118" w14:textId="77777777" w:rsidR="00AD706B" w:rsidRDefault="00AD706B" w:rsidP="00A374B8">
            <w:pPr>
              <w:pStyle w:val="NoSpacing"/>
              <w:rPr>
                <w:b/>
              </w:rPr>
            </w:pPr>
            <w:r>
              <w:rPr>
                <w:b/>
              </w:rPr>
              <w:t>Reporting Opportunities to HHSC</w:t>
            </w:r>
          </w:p>
        </w:tc>
        <w:tc>
          <w:tcPr>
            <w:tcW w:w="2286" w:type="dxa"/>
          </w:tcPr>
          <w:p w14:paraId="319B4119" w14:textId="77777777" w:rsidR="00AD706B" w:rsidRDefault="00AD706B" w:rsidP="00A374B8">
            <w:pPr>
              <w:pStyle w:val="NoSpacing"/>
              <w:jc w:val="center"/>
            </w:pPr>
            <w:r w:rsidRPr="00135F3A">
              <w:t>10</w:t>
            </w:r>
            <w:r>
              <w:t>/31/2014</w:t>
            </w:r>
          </w:p>
        </w:tc>
        <w:tc>
          <w:tcPr>
            <w:tcW w:w="2286" w:type="dxa"/>
          </w:tcPr>
          <w:p w14:paraId="319B411A" w14:textId="77777777" w:rsidR="00AD706B" w:rsidRPr="00135F3A" w:rsidRDefault="00AD706B" w:rsidP="00A374B8">
            <w:pPr>
              <w:pStyle w:val="NoSpacing"/>
              <w:jc w:val="center"/>
            </w:pPr>
            <w:r w:rsidRPr="00135F3A">
              <w:t>4/30/2015</w:t>
            </w:r>
          </w:p>
          <w:p w14:paraId="319B411B" w14:textId="77777777" w:rsidR="00AD706B" w:rsidRPr="00AC6074" w:rsidRDefault="00AD706B" w:rsidP="00A374B8">
            <w:pPr>
              <w:pStyle w:val="NoSpacing"/>
              <w:jc w:val="center"/>
              <w:rPr>
                <w:b/>
              </w:rPr>
            </w:pPr>
            <w:r w:rsidRPr="00135F3A">
              <w:t>10/31/2015</w:t>
            </w:r>
          </w:p>
        </w:tc>
        <w:tc>
          <w:tcPr>
            <w:tcW w:w="2286" w:type="dxa"/>
          </w:tcPr>
          <w:p w14:paraId="319B411C" w14:textId="77777777" w:rsidR="00AD706B" w:rsidRPr="00135F3A" w:rsidRDefault="00AD706B" w:rsidP="00A374B8">
            <w:pPr>
              <w:pStyle w:val="NoSpacing"/>
              <w:jc w:val="center"/>
            </w:pPr>
            <w:r w:rsidRPr="00135F3A">
              <w:t>4/30/2016</w:t>
            </w:r>
          </w:p>
          <w:p w14:paraId="319B411D" w14:textId="77777777" w:rsidR="00AD706B" w:rsidRDefault="00AD706B" w:rsidP="00A374B8">
            <w:pPr>
              <w:pStyle w:val="NoSpacing"/>
              <w:jc w:val="center"/>
              <w:rPr>
                <w:b/>
              </w:rPr>
            </w:pPr>
            <w:r w:rsidRPr="00135F3A">
              <w:t>10/31/2016</w:t>
            </w:r>
          </w:p>
        </w:tc>
      </w:tr>
    </w:tbl>
    <w:p w14:paraId="319B4147" w14:textId="77777777" w:rsidR="00356CF4" w:rsidRPr="008F249E" w:rsidRDefault="00356CF4" w:rsidP="00E72F21">
      <w:pPr>
        <w:pStyle w:val="Heading2"/>
      </w:pPr>
    </w:p>
    <w:sectPr w:rsidR="00356CF4" w:rsidRPr="008F249E" w:rsidSect="00E3456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B414E" w14:textId="77777777" w:rsidR="00D60C50" w:rsidRDefault="00D60C50" w:rsidP="00F63191">
      <w:pPr>
        <w:spacing w:after="0" w:line="240" w:lineRule="auto"/>
      </w:pPr>
      <w:r>
        <w:separator/>
      </w:r>
    </w:p>
  </w:endnote>
  <w:endnote w:type="continuationSeparator" w:id="0">
    <w:p w14:paraId="319B414F" w14:textId="77777777" w:rsidR="00D60C50" w:rsidRDefault="00D60C50"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319B4151" w14:textId="77777777" w:rsidR="002E14AF" w:rsidRDefault="008216A0">
        <w:pPr>
          <w:pStyle w:val="Footer"/>
          <w:jc w:val="right"/>
        </w:pPr>
        <w:r>
          <w:fldChar w:fldCharType="begin"/>
        </w:r>
        <w:r w:rsidR="002E14AF">
          <w:instrText xml:space="preserve"> PAGE   \* MERGEFORMAT </w:instrText>
        </w:r>
        <w:r>
          <w:fldChar w:fldCharType="separate"/>
        </w:r>
        <w:r w:rsidR="00637AA7">
          <w:rPr>
            <w:noProof/>
          </w:rPr>
          <w:t>1</w:t>
        </w:r>
        <w:r>
          <w:rPr>
            <w:noProof/>
          </w:rPr>
          <w:fldChar w:fldCharType="end"/>
        </w:r>
      </w:p>
    </w:sdtContent>
  </w:sdt>
  <w:p w14:paraId="319B4152"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B414C" w14:textId="77777777" w:rsidR="00D60C50" w:rsidRDefault="00D60C50" w:rsidP="00F63191">
      <w:pPr>
        <w:spacing w:after="0" w:line="240" w:lineRule="auto"/>
      </w:pPr>
      <w:r>
        <w:separator/>
      </w:r>
    </w:p>
  </w:footnote>
  <w:footnote w:type="continuationSeparator" w:id="0">
    <w:p w14:paraId="319B414D" w14:textId="77777777" w:rsidR="00D60C50" w:rsidRDefault="00D60C50"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4150" w14:textId="0D565004"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C2055C"/>
    <w:multiLevelType w:val="hybridMultilevel"/>
    <w:tmpl w:val="7A8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05C80"/>
    <w:multiLevelType w:val="hybridMultilevel"/>
    <w:tmpl w:val="B8F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0"/>
  </w:num>
  <w:num w:numId="5">
    <w:abstractNumId w:val="2"/>
  </w:num>
  <w:num w:numId="6">
    <w:abstractNumId w:val="6"/>
  </w:num>
  <w:num w:numId="7">
    <w:abstractNumId w:val="12"/>
  </w:num>
  <w:num w:numId="8">
    <w:abstractNumId w:val="7"/>
  </w:num>
  <w:num w:numId="9">
    <w:abstractNumId w:val="9"/>
  </w:num>
  <w:num w:numId="10">
    <w:abstractNumId w:val="8"/>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31069"/>
    <w:rsid w:val="00033A31"/>
    <w:rsid w:val="00043DBB"/>
    <w:rsid w:val="00055843"/>
    <w:rsid w:val="000C575F"/>
    <w:rsid w:val="000D1199"/>
    <w:rsid w:val="000D5A2D"/>
    <w:rsid w:val="000E7EED"/>
    <w:rsid w:val="00100A2F"/>
    <w:rsid w:val="00107C1A"/>
    <w:rsid w:val="0011709A"/>
    <w:rsid w:val="001448E7"/>
    <w:rsid w:val="00165D76"/>
    <w:rsid w:val="001D6BEA"/>
    <w:rsid w:val="002224F0"/>
    <w:rsid w:val="00245754"/>
    <w:rsid w:val="00271E53"/>
    <w:rsid w:val="002845C2"/>
    <w:rsid w:val="002D1843"/>
    <w:rsid w:val="002E14AF"/>
    <w:rsid w:val="0032246B"/>
    <w:rsid w:val="003438C3"/>
    <w:rsid w:val="00346B8D"/>
    <w:rsid w:val="00356CF4"/>
    <w:rsid w:val="00366D0B"/>
    <w:rsid w:val="00375652"/>
    <w:rsid w:val="00383516"/>
    <w:rsid w:val="003844DB"/>
    <w:rsid w:val="003A409E"/>
    <w:rsid w:val="003F4E8D"/>
    <w:rsid w:val="003F614D"/>
    <w:rsid w:val="00416E44"/>
    <w:rsid w:val="0044530F"/>
    <w:rsid w:val="00466DDB"/>
    <w:rsid w:val="00502BE4"/>
    <w:rsid w:val="00506BC5"/>
    <w:rsid w:val="00536799"/>
    <w:rsid w:val="005441DC"/>
    <w:rsid w:val="0054662A"/>
    <w:rsid w:val="00561D6D"/>
    <w:rsid w:val="005802A0"/>
    <w:rsid w:val="005857E6"/>
    <w:rsid w:val="005B79DD"/>
    <w:rsid w:val="005C70A1"/>
    <w:rsid w:val="005D0DD4"/>
    <w:rsid w:val="005F4D43"/>
    <w:rsid w:val="00637AA7"/>
    <w:rsid w:val="00651532"/>
    <w:rsid w:val="007131A3"/>
    <w:rsid w:val="00713FD3"/>
    <w:rsid w:val="007164C7"/>
    <w:rsid w:val="00727991"/>
    <w:rsid w:val="00743628"/>
    <w:rsid w:val="007532B0"/>
    <w:rsid w:val="00760D27"/>
    <w:rsid w:val="0077566E"/>
    <w:rsid w:val="00787D45"/>
    <w:rsid w:val="007C43F7"/>
    <w:rsid w:val="007C728B"/>
    <w:rsid w:val="007C7C85"/>
    <w:rsid w:val="007E0395"/>
    <w:rsid w:val="007F675B"/>
    <w:rsid w:val="007F7C07"/>
    <w:rsid w:val="008216A0"/>
    <w:rsid w:val="00823868"/>
    <w:rsid w:val="00827557"/>
    <w:rsid w:val="00861788"/>
    <w:rsid w:val="008722BB"/>
    <w:rsid w:val="008779F5"/>
    <w:rsid w:val="0088642E"/>
    <w:rsid w:val="00886E0E"/>
    <w:rsid w:val="008A5405"/>
    <w:rsid w:val="008C4778"/>
    <w:rsid w:val="008C5E04"/>
    <w:rsid w:val="008D1A8E"/>
    <w:rsid w:val="008F0411"/>
    <w:rsid w:val="008F249E"/>
    <w:rsid w:val="00965A2A"/>
    <w:rsid w:val="00967948"/>
    <w:rsid w:val="00994A41"/>
    <w:rsid w:val="00996DD5"/>
    <w:rsid w:val="009C6EA3"/>
    <w:rsid w:val="009F04D0"/>
    <w:rsid w:val="009F78A7"/>
    <w:rsid w:val="009F7E66"/>
    <w:rsid w:val="00A11BD9"/>
    <w:rsid w:val="00A2307F"/>
    <w:rsid w:val="00A47ECB"/>
    <w:rsid w:val="00A82574"/>
    <w:rsid w:val="00AB1999"/>
    <w:rsid w:val="00AB2DF6"/>
    <w:rsid w:val="00AC3A97"/>
    <w:rsid w:val="00AD706B"/>
    <w:rsid w:val="00AE01E9"/>
    <w:rsid w:val="00AF3A3D"/>
    <w:rsid w:val="00B05CBF"/>
    <w:rsid w:val="00B20462"/>
    <w:rsid w:val="00B525C9"/>
    <w:rsid w:val="00B546CF"/>
    <w:rsid w:val="00B65D92"/>
    <w:rsid w:val="00B7257A"/>
    <w:rsid w:val="00BA61F1"/>
    <w:rsid w:val="00BC4643"/>
    <w:rsid w:val="00C01E6F"/>
    <w:rsid w:val="00C86C48"/>
    <w:rsid w:val="00C95D37"/>
    <w:rsid w:val="00C9758A"/>
    <w:rsid w:val="00CA2D3E"/>
    <w:rsid w:val="00CA4C08"/>
    <w:rsid w:val="00CC28BC"/>
    <w:rsid w:val="00CD7069"/>
    <w:rsid w:val="00D156A2"/>
    <w:rsid w:val="00D1777E"/>
    <w:rsid w:val="00D60C50"/>
    <w:rsid w:val="00D63CD3"/>
    <w:rsid w:val="00DB7651"/>
    <w:rsid w:val="00DE660A"/>
    <w:rsid w:val="00E3456D"/>
    <w:rsid w:val="00E43145"/>
    <w:rsid w:val="00E72F21"/>
    <w:rsid w:val="00EB6678"/>
    <w:rsid w:val="00EB7647"/>
    <w:rsid w:val="00EF333D"/>
    <w:rsid w:val="00F05C01"/>
    <w:rsid w:val="00F069C3"/>
    <w:rsid w:val="00F06C5E"/>
    <w:rsid w:val="00F20443"/>
    <w:rsid w:val="00F32A26"/>
    <w:rsid w:val="00F50BA4"/>
    <w:rsid w:val="00F63191"/>
    <w:rsid w:val="00F64CD1"/>
    <w:rsid w:val="00F81588"/>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617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861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568152299">
      <w:bodyDiv w:val="1"/>
      <w:marLeft w:val="0"/>
      <w:marRight w:val="0"/>
      <w:marTop w:val="0"/>
      <w:marBottom w:val="0"/>
      <w:divBdr>
        <w:top w:val="none" w:sz="0" w:space="0" w:color="auto"/>
        <w:left w:val="none" w:sz="0" w:space="0" w:color="auto"/>
        <w:bottom w:val="none" w:sz="0" w:space="0" w:color="auto"/>
        <w:right w:val="none" w:sz="0" w:space="0" w:color="auto"/>
      </w:divBdr>
    </w:div>
    <w:div w:id="834297708">
      <w:bodyDiv w:val="1"/>
      <w:marLeft w:val="0"/>
      <w:marRight w:val="0"/>
      <w:marTop w:val="0"/>
      <w:marBottom w:val="0"/>
      <w:divBdr>
        <w:top w:val="none" w:sz="0" w:space="0" w:color="auto"/>
        <w:left w:val="none" w:sz="0" w:space="0" w:color="auto"/>
        <w:bottom w:val="none" w:sz="0" w:space="0" w:color="auto"/>
        <w:right w:val="none" w:sz="0" w:space="0" w:color="auto"/>
      </w:divBdr>
    </w:div>
    <w:div w:id="1380516623">
      <w:bodyDiv w:val="1"/>
      <w:marLeft w:val="0"/>
      <w:marRight w:val="0"/>
      <w:marTop w:val="0"/>
      <w:marBottom w:val="0"/>
      <w:divBdr>
        <w:top w:val="none" w:sz="0" w:space="0" w:color="auto"/>
        <w:left w:val="none" w:sz="0" w:space="0" w:color="auto"/>
        <w:bottom w:val="none" w:sz="0" w:space="0" w:color="auto"/>
        <w:right w:val="none" w:sz="0" w:space="0" w:color="auto"/>
      </w:divBdr>
      <w:divsChild>
        <w:div w:id="1153064705">
          <w:marLeft w:val="0"/>
          <w:marRight w:val="0"/>
          <w:marTop w:val="0"/>
          <w:marBottom w:val="0"/>
          <w:divBdr>
            <w:top w:val="none" w:sz="0" w:space="0" w:color="auto"/>
            <w:left w:val="none" w:sz="0" w:space="0" w:color="auto"/>
            <w:bottom w:val="none" w:sz="0" w:space="0" w:color="auto"/>
            <w:right w:val="none" w:sz="0" w:space="0" w:color="auto"/>
          </w:divBdr>
          <w:divsChild>
            <w:div w:id="1717656964">
              <w:marLeft w:val="0"/>
              <w:marRight w:val="0"/>
              <w:marTop w:val="0"/>
              <w:marBottom w:val="0"/>
              <w:divBdr>
                <w:top w:val="none" w:sz="0" w:space="0" w:color="auto"/>
                <w:left w:val="none" w:sz="0" w:space="0" w:color="auto"/>
                <w:bottom w:val="none" w:sz="0" w:space="0" w:color="auto"/>
                <w:right w:val="none" w:sz="0" w:space="0" w:color="auto"/>
              </w:divBdr>
              <w:divsChild>
                <w:div w:id="1067462395">
                  <w:marLeft w:val="0"/>
                  <w:marRight w:val="0"/>
                  <w:marTop w:val="0"/>
                  <w:marBottom w:val="0"/>
                  <w:divBdr>
                    <w:top w:val="single" w:sz="8" w:space="0" w:color="666699"/>
                    <w:left w:val="single" w:sz="8" w:space="0" w:color="666699"/>
                    <w:bottom w:val="single" w:sz="8" w:space="0" w:color="666699"/>
                    <w:right w:val="single" w:sz="8" w:space="0" w:color="666699"/>
                  </w:divBdr>
                  <w:divsChild>
                    <w:div w:id="1791506047">
                      <w:marLeft w:val="0"/>
                      <w:marRight w:val="0"/>
                      <w:marTop w:val="0"/>
                      <w:marBottom w:val="0"/>
                      <w:divBdr>
                        <w:top w:val="none" w:sz="0" w:space="0" w:color="auto"/>
                        <w:left w:val="none" w:sz="0" w:space="0" w:color="auto"/>
                        <w:bottom w:val="none" w:sz="0" w:space="0" w:color="auto"/>
                        <w:right w:val="none" w:sz="0" w:space="0" w:color="auto"/>
                      </w:divBdr>
                      <w:divsChild>
                        <w:div w:id="948506785">
                          <w:marLeft w:val="2712"/>
                          <w:marRight w:val="187"/>
                          <w:marTop w:val="0"/>
                          <w:marBottom w:val="0"/>
                          <w:divBdr>
                            <w:top w:val="single" w:sz="8" w:space="0" w:color="000066"/>
                            <w:left w:val="single" w:sz="8" w:space="0" w:color="000066"/>
                            <w:bottom w:val="single" w:sz="8" w:space="0" w:color="000066"/>
                            <w:right w:val="single" w:sz="8" w:space="0" w:color="000066"/>
                          </w:divBdr>
                          <w:divsChild>
                            <w:div w:id="297299003">
                              <w:marLeft w:val="187"/>
                              <w:marRight w:val="187"/>
                              <w:marTop w:val="187"/>
                              <w:marBottom w:val="187"/>
                              <w:divBdr>
                                <w:top w:val="none" w:sz="0" w:space="0" w:color="auto"/>
                                <w:left w:val="none" w:sz="0" w:space="0" w:color="auto"/>
                                <w:bottom w:val="none" w:sz="0" w:space="0" w:color="auto"/>
                                <w:right w:val="none" w:sz="0" w:space="0" w:color="auto"/>
                              </w:divBdr>
                              <w:divsChild>
                                <w:div w:id="2044940701">
                                  <w:marLeft w:val="0"/>
                                  <w:marRight w:val="0"/>
                                  <w:marTop w:val="0"/>
                                  <w:marBottom w:val="0"/>
                                  <w:divBdr>
                                    <w:top w:val="none" w:sz="0" w:space="0" w:color="auto"/>
                                    <w:left w:val="none" w:sz="0" w:space="0" w:color="auto"/>
                                    <w:bottom w:val="none" w:sz="0" w:space="0" w:color="auto"/>
                                    <w:right w:val="none" w:sz="0" w:space="0" w:color="auto"/>
                                  </w:divBdr>
                                  <w:divsChild>
                                    <w:div w:id="1392846263">
                                      <w:marLeft w:val="0"/>
                                      <w:marRight w:val="0"/>
                                      <w:marTop w:val="0"/>
                                      <w:marBottom w:val="0"/>
                                      <w:divBdr>
                                        <w:top w:val="none" w:sz="0" w:space="0" w:color="auto"/>
                                        <w:left w:val="none" w:sz="0" w:space="0" w:color="auto"/>
                                        <w:bottom w:val="none" w:sz="0" w:space="0" w:color="auto"/>
                                        <w:right w:val="none" w:sz="0" w:space="0" w:color="auto"/>
                                      </w:divBdr>
                                      <w:divsChild>
                                        <w:div w:id="305625409">
                                          <w:marLeft w:val="0"/>
                                          <w:marRight w:val="0"/>
                                          <w:marTop w:val="187"/>
                                          <w:marBottom w:val="94"/>
                                          <w:divBdr>
                                            <w:top w:val="none" w:sz="0" w:space="0" w:color="auto"/>
                                            <w:left w:val="none" w:sz="0" w:space="0" w:color="auto"/>
                                            <w:bottom w:val="none" w:sz="0" w:space="0" w:color="auto"/>
                                            <w:right w:val="none" w:sz="0" w:space="0" w:color="auto"/>
                                          </w:divBdr>
                                          <w:divsChild>
                                            <w:div w:id="14865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886935">
      <w:bodyDiv w:val="1"/>
      <w:marLeft w:val="0"/>
      <w:marRight w:val="0"/>
      <w:marTop w:val="0"/>
      <w:marBottom w:val="0"/>
      <w:divBdr>
        <w:top w:val="none" w:sz="0" w:space="0" w:color="auto"/>
        <w:left w:val="none" w:sz="0" w:space="0" w:color="auto"/>
        <w:bottom w:val="none" w:sz="0" w:space="0" w:color="auto"/>
        <w:right w:val="none" w:sz="0" w:space="0" w:color="auto"/>
      </w:divBdr>
    </w:div>
    <w:div w:id="1822038343">
      <w:bodyDiv w:val="1"/>
      <w:marLeft w:val="0"/>
      <w:marRight w:val="0"/>
      <w:marTop w:val="0"/>
      <w:marBottom w:val="0"/>
      <w:divBdr>
        <w:top w:val="none" w:sz="0" w:space="0" w:color="auto"/>
        <w:left w:val="none" w:sz="0" w:space="0" w:color="auto"/>
        <w:bottom w:val="none" w:sz="0" w:space="0" w:color="auto"/>
        <w:right w:val="none" w:sz="0" w:space="0" w:color="auto"/>
      </w:divBdr>
      <w:divsChild>
        <w:div w:id="307632896">
          <w:marLeft w:val="0"/>
          <w:marRight w:val="0"/>
          <w:marTop w:val="0"/>
          <w:marBottom w:val="0"/>
          <w:divBdr>
            <w:top w:val="none" w:sz="0" w:space="0" w:color="auto"/>
            <w:left w:val="none" w:sz="0" w:space="0" w:color="auto"/>
            <w:bottom w:val="none" w:sz="0" w:space="0" w:color="auto"/>
            <w:right w:val="none" w:sz="0" w:space="0" w:color="auto"/>
          </w:divBdr>
          <w:divsChild>
            <w:div w:id="605771486">
              <w:marLeft w:val="0"/>
              <w:marRight w:val="0"/>
              <w:marTop w:val="0"/>
              <w:marBottom w:val="0"/>
              <w:divBdr>
                <w:top w:val="none" w:sz="0" w:space="0" w:color="auto"/>
                <w:left w:val="none" w:sz="0" w:space="0" w:color="auto"/>
                <w:bottom w:val="none" w:sz="0" w:space="0" w:color="auto"/>
                <w:right w:val="none" w:sz="0" w:space="0" w:color="auto"/>
              </w:divBdr>
              <w:divsChild>
                <w:div w:id="462650161">
                  <w:marLeft w:val="0"/>
                  <w:marRight w:val="0"/>
                  <w:marTop w:val="0"/>
                  <w:marBottom w:val="0"/>
                  <w:divBdr>
                    <w:top w:val="single" w:sz="8" w:space="0" w:color="666699"/>
                    <w:left w:val="single" w:sz="8" w:space="0" w:color="666699"/>
                    <w:bottom w:val="single" w:sz="8" w:space="0" w:color="666699"/>
                    <w:right w:val="single" w:sz="8" w:space="0" w:color="666699"/>
                  </w:divBdr>
                  <w:divsChild>
                    <w:div w:id="1109276843">
                      <w:marLeft w:val="0"/>
                      <w:marRight w:val="0"/>
                      <w:marTop w:val="0"/>
                      <w:marBottom w:val="0"/>
                      <w:divBdr>
                        <w:top w:val="none" w:sz="0" w:space="0" w:color="auto"/>
                        <w:left w:val="none" w:sz="0" w:space="0" w:color="auto"/>
                        <w:bottom w:val="none" w:sz="0" w:space="0" w:color="auto"/>
                        <w:right w:val="none" w:sz="0" w:space="0" w:color="auto"/>
                      </w:divBdr>
                      <w:divsChild>
                        <w:div w:id="188572490">
                          <w:marLeft w:val="2712"/>
                          <w:marRight w:val="187"/>
                          <w:marTop w:val="0"/>
                          <w:marBottom w:val="0"/>
                          <w:divBdr>
                            <w:top w:val="single" w:sz="8" w:space="0" w:color="000066"/>
                            <w:left w:val="single" w:sz="8" w:space="0" w:color="000066"/>
                            <w:bottom w:val="single" w:sz="8" w:space="0" w:color="000066"/>
                            <w:right w:val="single" w:sz="8" w:space="0" w:color="000066"/>
                          </w:divBdr>
                          <w:divsChild>
                            <w:div w:id="2022705383">
                              <w:marLeft w:val="187"/>
                              <w:marRight w:val="187"/>
                              <w:marTop w:val="187"/>
                              <w:marBottom w:val="187"/>
                              <w:divBdr>
                                <w:top w:val="none" w:sz="0" w:space="0" w:color="auto"/>
                                <w:left w:val="none" w:sz="0" w:space="0" w:color="auto"/>
                                <w:bottom w:val="none" w:sz="0" w:space="0" w:color="auto"/>
                                <w:right w:val="none" w:sz="0" w:space="0" w:color="auto"/>
                              </w:divBdr>
                              <w:divsChild>
                                <w:div w:id="1087120943">
                                  <w:marLeft w:val="0"/>
                                  <w:marRight w:val="0"/>
                                  <w:marTop w:val="0"/>
                                  <w:marBottom w:val="0"/>
                                  <w:divBdr>
                                    <w:top w:val="none" w:sz="0" w:space="0" w:color="auto"/>
                                    <w:left w:val="none" w:sz="0" w:space="0" w:color="auto"/>
                                    <w:bottom w:val="none" w:sz="0" w:space="0" w:color="auto"/>
                                    <w:right w:val="none" w:sz="0" w:space="0" w:color="auto"/>
                                  </w:divBdr>
                                  <w:divsChild>
                                    <w:div w:id="1612319566">
                                      <w:marLeft w:val="0"/>
                                      <w:marRight w:val="0"/>
                                      <w:marTop w:val="0"/>
                                      <w:marBottom w:val="0"/>
                                      <w:divBdr>
                                        <w:top w:val="none" w:sz="0" w:space="0" w:color="auto"/>
                                        <w:left w:val="none" w:sz="0" w:space="0" w:color="auto"/>
                                        <w:bottom w:val="none" w:sz="0" w:space="0" w:color="auto"/>
                                        <w:right w:val="none" w:sz="0" w:space="0" w:color="auto"/>
                                      </w:divBdr>
                                      <w:divsChild>
                                        <w:div w:id="2018119703">
                                          <w:marLeft w:val="0"/>
                                          <w:marRight w:val="0"/>
                                          <w:marTop w:val="187"/>
                                          <w:marBottom w:val="94"/>
                                          <w:divBdr>
                                            <w:top w:val="none" w:sz="0" w:space="0" w:color="auto"/>
                                            <w:left w:val="none" w:sz="0" w:space="0" w:color="auto"/>
                                            <w:bottom w:val="none" w:sz="0" w:space="0" w:color="auto"/>
                                            <w:right w:val="none" w:sz="0" w:space="0" w:color="auto"/>
                                          </w:divBdr>
                                          <w:divsChild>
                                            <w:div w:id="10625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61ACDB7-C0A5-4DDD-9A74-DD2C0FC8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2014-03-03T02:51:00Z</dcterms:created>
  <dcterms:modified xsi:type="dcterms:W3CDTF">2014-03-03T02:51:00Z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