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F9D16" w14:textId="6B86B583"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927EEE">
        <w:t>4</w:t>
      </w:r>
      <w:r w:rsidR="003C117B">
        <w:t>.7</w:t>
      </w:r>
      <w:r>
        <w:t xml:space="preserve">:  </w:t>
      </w:r>
      <w:r w:rsidR="00373A67">
        <w:t>Pressure Ulcer Rate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6745"/>
      </w:tblGrid>
      <w:tr w:rsidR="00AD706B" w14:paraId="48F542DF" w14:textId="77777777" w:rsidTr="00481B3B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14:paraId="0A6A1FED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4576CCA" w14:textId="5AD2FC80" w:rsidR="00AD706B" w:rsidRPr="008779F5" w:rsidRDefault="00D50C1F" w:rsidP="00373A6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IT-4.7 </w:t>
            </w:r>
            <w:r w:rsidR="00373A67">
              <w:rPr>
                <w:b/>
              </w:rPr>
              <w:t>Pressure Ulcer Rate</w:t>
            </w:r>
          </w:p>
        </w:tc>
      </w:tr>
      <w:tr w:rsidR="00AD706B" w14:paraId="1E55B9D1" w14:textId="77777777" w:rsidTr="00481B3B">
        <w:tc>
          <w:tcPr>
            <w:tcW w:w="2605" w:type="dxa"/>
          </w:tcPr>
          <w:p w14:paraId="0413356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45" w:type="dxa"/>
          </w:tcPr>
          <w:p w14:paraId="6FF4D329" w14:textId="0D337DA9" w:rsidR="00AD706B" w:rsidRDefault="00481B3B" w:rsidP="00481B3B">
            <w:pPr>
              <w:pStyle w:val="NoSpacing"/>
            </w:pPr>
            <w:r>
              <w:t>Stage III or IV pressure ulcers (secondary diagnosis) per 1,000 discharges among patients ages 18 years and older.</w:t>
            </w:r>
          </w:p>
        </w:tc>
      </w:tr>
      <w:tr w:rsidR="00AD706B" w14:paraId="2372B882" w14:textId="77777777" w:rsidTr="00481B3B">
        <w:tc>
          <w:tcPr>
            <w:tcW w:w="2605" w:type="dxa"/>
          </w:tcPr>
          <w:p w14:paraId="59C64C62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45" w:type="dxa"/>
          </w:tcPr>
          <w:p w14:paraId="276D340E" w14:textId="77777777" w:rsidR="00AD706B" w:rsidRDefault="00481B3B" w:rsidP="00B05CBF">
            <w:pPr>
              <w:pStyle w:val="NoSpacing"/>
            </w:pPr>
            <w:r>
              <w:t>N</w:t>
            </w:r>
            <w:r w:rsidR="00E01904">
              <w:t>ot applicable</w:t>
            </w:r>
          </w:p>
        </w:tc>
      </w:tr>
      <w:tr w:rsidR="00AD706B" w14:paraId="45A463E8" w14:textId="77777777" w:rsidTr="00481B3B">
        <w:tc>
          <w:tcPr>
            <w:tcW w:w="2605" w:type="dxa"/>
          </w:tcPr>
          <w:p w14:paraId="031D084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45" w:type="dxa"/>
          </w:tcPr>
          <w:p w14:paraId="0BD3565A" w14:textId="77777777" w:rsidR="00AD706B" w:rsidRPr="00631E85" w:rsidRDefault="00481B3B" w:rsidP="00A374B8">
            <w:pPr>
              <w:pStyle w:val="NoSpacing"/>
            </w:pPr>
            <w:r>
              <w:t>Agency for Healthcare Research and Quality (AHRQ) Quality Indicator</w:t>
            </w:r>
          </w:p>
        </w:tc>
      </w:tr>
      <w:tr w:rsidR="00AD706B" w14:paraId="7389F1EC" w14:textId="77777777" w:rsidTr="00481B3B">
        <w:tc>
          <w:tcPr>
            <w:tcW w:w="2605" w:type="dxa"/>
          </w:tcPr>
          <w:p w14:paraId="4E99A85E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45" w:type="dxa"/>
          </w:tcPr>
          <w:p w14:paraId="61679217" w14:textId="78EB26FF" w:rsidR="00AD7145" w:rsidRDefault="005B1BB7" w:rsidP="00A374B8">
            <w:pPr>
              <w:pStyle w:val="NoSpacing"/>
            </w:pPr>
            <w:hyperlink r:id="rId12" w:history="1">
              <w:r w:rsidR="00AD7145" w:rsidRPr="00D0263B">
                <w:rPr>
                  <w:rStyle w:val="Hyperlink"/>
                </w:rPr>
                <w:t>http://www.qualitymeasures.ahrq.gov/content.aspx?id=38513&amp;search=pressure+ulcer</w:t>
              </w:r>
            </w:hyperlink>
          </w:p>
          <w:p w14:paraId="7043F088" w14:textId="77777777" w:rsidR="00AD7145" w:rsidRDefault="00AD7145" w:rsidP="00A374B8">
            <w:pPr>
              <w:pStyle w:val="NoSpacing"/>
            </w:pPr>
          </w:p>
          <w:p w14:paraId="4490A10F" w14:textId="77777777" w:rsidR="00481B3B" w:rsidRDefault="005B1BB7" w:rsidP="00A374B8">
            <w:pPr>
              <w:pStyle w:val="NoSpacing"/>
              <w:rPr>
                <w:rStyle w:val="Hyperlink"/>
              </w:rPr>
            </w:pPr>
            <w:hyperlink r:id="rId13" w:history="1">
              <w:r w:rsidR="00481B3B" w:rsidRPr="004459DA">
                <w:rPr>
                  <w:rStyle w:val="Hyperlink"/>
                </w:rPr>
                <w:t>http://qualityindicators.ahrq.gov/Downloads/Modules/PSI/V45/TechSpecs/PSI%2003%20Pressure%20Ulcer%20Rate.pdf</w:t>
              </w:r>
            </w:hyperlink>
          </w:p>
          <w:p w14:paraId="7B7F9CCE" w14:textId="77777777" w:rsidR="00862E22" w:rsidRDefault="00862E22" w:rsidP="00A374B8">
            <w:pPr>
              <w:pStyle w:val="NoSpacing"/>
              <w:rPr>
                <w:rStyle w:val="Hyperlink"/>
              </w:rPr>
            </w:pPr>
          </w:p>
          <w:p w14:paraId="77DCFAAF" w14:textId="69AF7B4D" w:rsidR="00862E22" w:rsidRPr="00631E85" w:rsidRDefault="00862E22" w:rsidP="00A374B8">
            <w:pPr>
              <w:pStyle w:val="NoSpacing"/>
            </w:pPr>
            <w:r>
              <w:t xml:space="preserve">Specifications Manual: </w:t>
            </w:r>
            <w:hyperlink r:id="rId14" w:history="1">
              <w:r w:rsidRPr="009F55C8">
                <w:rPr>
                  <w:rStyle w:val="Hyperlink"/>
                </w:rPr>
                <w:t>http://www.jointcommission.org/assets/1/6/NHQM_v4_3a_PDF_10_2_2013.zip</w:t>
              </w:r>
            </w:hyperlink>
          </w:p>
        </w:tc>
      </w:tr>
      <w:tr w:rsidR="00AD706B" w14:paraId="64CF8C2F" w14:textId="77777777" w:rsidTr="00481B3B">
        <w:tc>
          <w:tcPr>
            <w:tcW w:w="2605" w:type="dxa"/>
          </w:tcPr>
          <w:p w14:paraId="0E12EFB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45" w:type="dxa"/>
          </w:tcPr>
          <w:p w14:paraId="0783C2A9" w14:textId="05723315" w:rsidR="00AD706B" w:rsidRDefault="00AD706B" w:rsidP="001B55B2">
            <w:pPr>
              <w:pStyle w:val="NoSpacing"/>
            </w:pPr>
            <w:r>
              <w:t>Stand-</w:t>
            </w:r>
            <w:r w:rsidR="001B55B2">
              <w:t>A</w:t>
            </w:r>
            <w:r>
              <w:t>lone</w:t>
            </w:r>
            <w:r w:rsidR="00165D76">
              <w:t xml:space="preserve"> (SA</w:t>
            </w:r>
            <w:r w:rsidR="00481B3B">
              <w:t>)</w:t>
            </w:r>
          </w:p>
        </w:tc>
      </w:tr>
      <w:tr w:rsidR="00D50C1F" w14:paraId="08B94694" w14:textId="77777777" w:rsidTr="00481B3B">
        <w:tc>
          <w:tcPr>
            <w:tcW w:w="2605" w:type="dxa"/>
          </w:tcPr>
          <w:p w14:paraId="0941C929" w14:textId="387B8A4A" w:rsidR="00D50C1F" w:rsidRDefault="00D50C1F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745" w:type="dxa"/>
          </w:tcPr>
          <w:p w14:paraId="65478E1B" w14:textId="77777777" w:rsidR="00D50C1F" w:rsidRDefault="00D50C1F" w:rsidP="00B410EB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D50C1F" w:rsidRPr="008331B0" w14:paraId="636B0323" w14:textId="77777777" w:rsidTr="00B410EB">
              <w:tc>
                <w:tcPr>
                  <w:tcW w:w="2209" w:type="dxa"/>
                </w:tcPr>
                <w:p w14:paraId="05239A86" w14:textId="77777777" w:rsidR="00D50C1F" w:rsidRPr="008331B0" w:rsidRDefault="00D50C1F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41EBABB2" w14:textId="77777777" w:rsidR="00D50C1F" w:rsidRPr="008331B0" w:rsidRDefault="00D50C1F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09269B2B" w14:textId="77777777" w:rsidR="00D50C1F" w:rsidRPr="008331B0" w:rsidRDefault="00D50C1F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291B6962" w14:textId="77777777" w:rsidR="00D50C1F" w:rsidRPr="008331B0" w:rsidRDefault="00D50C1F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1BA6A740" w14:textId="77777777" w:rsidR="00D50C1F" w:rsidRPr="008331B0" w:rsidRDefault="00D50C1F" w:rsidP="00B410EB">
                  <w:pPr>
                    <w:pStyle w:val="NoSpacing"/>
                    <w:jc w:val="center"/>
                  </w:pPr>
                </w:p>
              </w:tc>
            </w:tr>
            <w:tr w:rsidR="00D50C1F" w:rsidRPr="008331B0" w14:paraId="36E3C395" w14:textId="77777777" w:rsidTr="00B410EB">
              <w:tc>
                <w:tcPr>
                  <w:tcW w:w="2209" w:type="dxa"/>
                </w:tcPr>
                <w:p w14:paraId="1B643B18" w14:textId="77777777" w:rsidR="00D50C1F" w:rsidRPr="008331B0" w:rsidRDefault="00D50C1F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6F3BD857" w14:textId="77777777" w:rsidR="00D50C1F" w:rsidRDefault="00D50C1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14:paraId="65E76C87" w14:textId="77777777" w:rsidR="00D50C1F" w:rsidRDefault="00D50C1F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7A3B58AC" w14:textId="77777777" w:rsidR="00D50C1F" w:rsidRPr="008331B0" w:rsidRDefault="00D50C1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51C5B253" w14:textId="77777777" w:rsidR="00D50C1F" w:rsidRDefault="00D50C1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2856ECF3" w14:textId="77777777" w:rsidR="00D50C1F" w:rsidRDefault="00D50C1F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29CCF51B" w14:textId="77777777" w:rsidR="00D50C1F" w:rsidRPr="008331B0" w:rsidRDefault="00D50C1F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3BCED474" w14:textId="7675151E" w:rsidR="00D50C1F" w:rsidRDefault="00D50C1F" w:rsidP="00481B3B">
            <w:pPr>
              <w:pStyle w:val="NoSpacing"/>
            </w:pPr>
          </w:p>
        </w:tc>
      </w:tr>
      <w:tr w:rsidR="00AD706B" w14:paraId="5DE42558" w14:textId="77777777" w:rsidTr="00481B3B">
        <w:tc>
          <w:tcPr>
            <w:tcW w:w="2605" w:type="dxa"/>
          </w:tcPr>
          <w:p w14:paraId="46D5467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45" w:type="dxa"/>
          </w:tcPr>
          <w:p w14:paraId="7EFD7E53" w14:textId="6738509D" w:rsidR="009F78A7" w:rsidRDefault="00481B3B" w:rsidP="00481B3B">
            <w:pPr>
              <w:pStyle w:val="NoSpacing"/>
            </w:pPr>
            <w:r>
              <w:t>None</w:t>
            </w:r>
          </w:p>
        </w:tc>
      </w:tr>
      <w:tr w:rsidR="00AD706B" w14:paraId="1A6F455A" w14:textId="77777777" w:rsidTr="00481B3B">
        <w:tc>
          <w:tcPr>
            <w:tcW w:w="2605" w:type="dxa"/>
          </w:tcPr>
          <w:p w14:paraId="14799017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45" w:type="dxa"/>
          </w:tcPr>
          <w:p w14:paraId="16998425" w14:textId="77777777" w:rsidR="00AD706B" w:rsidRPr="009F7E66" w:rsidRDefault="00481B3B" w:rsidP="006F2C4B">
            <w:pPr>
              <w:pStyle w:val="NoSpacing"/>
            </w:pPr>
            <w:r w:rsidRPr="00481B3B">
              <w:t xml:space="preserve">Surgical and medical discharges, for patients ages 18 years and older. </w:t>
            </w:r>
          </w:p>
        </w:tc>
      </w:tr>
      <w:tr w:rsidR="00787D45" w14:paraId="18159732" w14:textId="77777777" w:rsidTr="00481B3B">
        <w:trPr>
          <w:trHeight w:val="728"/>
        </w:trPr>
        <w:tc>
          <w:tcPr>
            <w:tcW w:w="2605" w:type="dxa"/>
          </w:tcPr>
          <w:p w14:paraId="39C4533B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745" w:type="dxa"/>
          </w:tcPr>
          <w:p w14:paraId="3BB9C77D" w14:textId="77777777" w:rsidR="00787D45" w:rsidRDefault="006F2C4B" w:rsidP="002F15E3">
            <w:pPr>
              <w:pStyle w:val="NoSpacing"/>
            </w:pPr>
            <w:r w:rsidRPr="00481B3B">
              <w:t>Surgical and medical discharges are defined by specific DRG or MS-DRG codes.</w:t>
            </w:r>
          </w:p>
          <w:p w14:paraId="57EC7CE8" w14:textId="6072866E" w:rsidR="00862E22" w:rsidRDefault="00862E22" w:rsidP="006E3E9C">
            <w:pPr>
              <w:pStyle w:val="NoSpacing"/>
            </w:pPr>
          </w:p>
          <w:p w14:paraId="58B0F78C" w14:textId="2C789BE0" w:rsidR="006F2C4B" w:rsidRPr="001B55B2" w:rsidRDefault="00862E22" w:rsidP="006E3E9C">
            <w:pPr>
              <w:pStyle w:val="NoSpacing"/>
            </w:pPr>
            <w:r>
              <w:t xml:space="preserve">Refer to Specifications Manual hyperlink above for detailed tables. </w:t>
            </w:r>
          </w:p>
        </w:tc>
      </w:tr>
      <w:tr w:rsidR="00787D45" w14:paraId="76B65269" w14:textId="77777777" w:rsidTr="00481B3B">
        <w:trPr>
          <w:trHeight w:val="710"/>
        </w:trPr>
        <w:tc>
          <w:tcPr>
            <w:tcW w:w="2605" w:type="dxa"/>
          </w:tcPr>
          <w:p w14:paraId="0F560AC5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45" w:type="dxa"/>
          </w:tcPr>
          <w:p w14:paraId="72E7E47B" w14:textId="77777777" w:rsidR="006F2C4B" w:rsidRDefault="006F2C4B" w:rsidP="006F2C4B">
            <w:pPr>
              <w:pStyle w:val="NoSpacing"/>
            </w:pPr>
            <w:r>
              <w:t xml:space="preserve">Exclude cases: </w:t>
            </w:r>
          </w:p>
          <w:p w14:paraId="4535365F" w14:textId="121BE2D4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W</w:t>
            </w:r>
            <w:r w:rsidR="006F2C4B">
              <w:t xml:space="preserve">ith length of stay of less than 5 days </w:t>
            </w:r>
          </w:p>
          <w:p w14:paraId="2573C5BC" w14:textId="56AFCC1E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W</w:t>
            </w:r>
            <w:r w:rsidR="006F2C4B">
              <w:t xml:space="preserve">ith a principal ICD-9-CM diagnosis code for pressure ulcer </w:t>
            </w:r>
          </w:p>
          <w:p w14:paraId="6575945D" w14:textId="6C789B1B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W</w:t>
            </w:r>
            <w:r w:rsidR="006F2C4B">
              <w:t xml:space="preserve">ith any secondary ICD-9-CM diagnosis codes for pressure ulcer present on admission and any secondary ICD-9-CM diagnosis codes for pressure ulcer stage III or IV (or </w:t>
            </w:r>
            <w:proofErr w:type="spellStart"/>
            <w:r w:rsidR="006F2C4B">
              <w:t>unstageable</w:t>
            </w:r>
            <w:proofErr w:type="spellEnd"/>
            <w:r w:rsidR="006F2C4B">
              <w:t xml:space="preserve">) present on admission </w:t>
            </w:r>
          </w:p>
          <w:p w14:paraId="6AC9902B" w14:textId="21FB2DCE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W</w:t>
            </w:r>
            <w:r w:rsidR="006F2C4B">
              <w:t xml:space="preserve">ith any-listed ICD-9-CM diagnosis codes for hemiplegia, paraplegia, or quadriplegia </w:t>
            </w:r>
          </w:p>
          <w:p w14:paraId="51ACC066" w14:textId="030540C6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W</w:t>
            </w:r>
            <w:r w:rsidR="006F2C4B">
              <w:t xml:space="preserve">ith any-listed ICD-9-CM diagnosis codes for </w:t>
            </w:r>
            <w:proofErr w:type="spellStart"/>
            <w:r w:rsidR="006F2C4B">
              <w:t>spina</w:t>
            </w:r>
            <w:proofErr w:type="spellEnd"/>
            <w:r w:rsidR="006F2C4B">
              <w:t xml:space="preserve"> bifida or anoxic brain damage </w:t>
            </w:r>
          </w:p>
          <w:p w14:paraId="6B5DEFC7" w14:textId="75815E79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W</w:t>
            </w:r>
            <w:r w:rsidR="006F2C4B">
              <w:t xml:space="preserve">ith any-listed ICD-9-CM procedure codes for debridement or pedicle graft before or on the same day as the major operating </w:t>
            </w:r>
            <w:r w:rsidR="006F2C4B">
              <w:lastRenderedPageBreak/>
              <w:t xml:space="preserve">room procedure (surgical cases only) </w:t>
            </w:r>
          </w:p>
          <w:p w14:paraId="0DC4A69F" w14:textId="3E64EAEB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W</w:t>
            </w:r>
            <w:r w:rsidR="006F2C4B">
              <w:t xml:space="preserve">ith any-listed ICD-9-CM procedure codes for debridement or pedicle graft as the only major operating room procedure (surgical cases only) </w:t>
            </w:r>
          </w:p>
          <w:p w14:paraId="4C38E905" w14:textId="428F805B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T</w:t>
            </w:r>
            <w:r w:rsidR="006F2C4B">
              <w:t xml:space="preserve">ransfer from a hospital (different facility) </w:t>
            </w:r>
          </w:p>
          <w:p w14:paraId="3E5034B1" w14:textId="7D79FE1E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T</w:t>
            </w:r>
            <w:r w:rsidR="006F2C4B">
              <w:t xml:space="preserve">ransfer from a Skilled Nursing Facility (SNF) or Intermediate Care Facility (ICF) </w:t>
            </w:r>
          </w:p>
          <w:p w14:paraId="260235E8" w14:textId="55CA1165" w:rsidR="006F2C4B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T</w:t>
            </w:r>
            <w:r w:rsidR="006F2C4B">
              <w:t xml:space="preserve">ransfer from another health care facility </w:t>
            </w:r>
          </w:p>
          <w:p w14:paraId="3DDAC353" w14:textId="77777777" w:rsidR="006F2C4B" w:rsidRDefault="006F2C4B" w:rsidP="006F2C4B">
            <w:pPr>
              <w:pStyle w:val="NoSpacing"/>
              <w:numPr>
                <w:ilvl w:val="0"/>
                <w:numId w:val="11"/>
              </w:numPr>
            </w:pPr>
            <w:r>
              <w:t xml:space="preserve">MDC 9 (skin, subcutaneous tissue, and breast) </w:t>
            </w:r>
          </w:p>
          <w:p w14:paraId="0C8409EB" w14:textId="77777777" w:rsidR="006F2C4B" w:rsidRDefault="006F2C4B" w:rsidP="006F2C4B">
            <w:pPr>
              <w:pStyle w:val="NoSpacing"/>
              <w:numPr>
                <w:ilvl w:val="0"/>
                <w:numId w:val="11"/>
              </w:numPr>
            </w:pPr>
            <w:r>
              <w:t xml:space="preserve">MDC 14 (pregnancy, childbirth, and </w:t>
            </w:r>
            <w:proofErr w:type="spellStart"/>
            <w:r>
              <w:t>puerperium</w:t>
            </w:r>
            <w:proofErr w:type="spellEnd"/>
            <w:r>
              <w:t xml:space="preserve">) </w:t>
            </w:r>
          </w:p>
          <w:p w14:paraId="407D29C7" w14:textId="01C57FED" w:rsidR="00787D45" w:rsidRDefault="00373A67" w:rsidP="006F2C4B">
            <w:pPr>
              <w:pStyle w:val="NoSpacing"/>
              <w:numPr>
                <w:ilvl w:val="0"/>
                <w:numId w:val="11"/>
              </w:numPr>
            </w:pPr>
            <w:r>
              <w:t>W</w:t>
            </w:r>
            <w:r w:rsidR="006F2C4B">
              <w:t>ith missing gender (SEX=missing), age (AGE=missing), quarter (DQTR=missing), year (YEAR=missing), or principal diagnosis (DX1=missing)</w:t>
            </w:r>
          </w:p>
          <w:p w14:paraId="1CB893FB" w14:textId="77777777" w:rsidR="006F2C4B" w:rsidRDefault="006F2C4B" w:rsidP="006F2C4B">
            <w:pPr>
              <w:pStyle w:val="NoSpacing"/>
            </w:pPr>
          </w:p>
          <w:p w14:paraId="7011D21B" w14:textId="2DEA51D2" w:rsidR="006F2C4B" w:rsidRPr="001D6BEA" w:rsidRDefault="00862E22" w:rsidP="001B55B2">
            <w:pPr>
              <w:pStyle w:val="NoSpacing"/>
            </w:pPr>
            <w:r>
              <w:t xml:space="preserve">Refer to Specifications Manual hyperlink above for detailed tables. </w:t>
            </w:r>
          </w:p>
        </w:tc>
      </w:tr>
      <w:tr w:rsidR="00D63CD3" w14:paraId="3838D146" w14:textId="77777777" w:rsidTr="00481B3B">
        <w:tc>
          <w:tcPr>
            <w:tcW w:w="2605" w:type="dxa"/>
          </w:tcPr>
          <w:p w14:paraId="4B84890B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Denominator Size</w:t>
            </w:r>
          </w:p>
        </w:tc>
        <w:tc>
          <w:tcPr>
            <w:tcW w:w="6745" w:type="dxa"/>
          </w:tcPr>
          <w:p w14:paraId="368A516D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36281AF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25161488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5B1E65EB" w14:textId="4C0CA22D" w:rsidR="0032246B" w:rsidRPr="001D6BEA" w:rsidRDefault="0032246B" w:rsidP="0014363E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14363E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702F8F" w14:textId="77777777" w:rsidTr="00481B3B">
        <w:tc>
          <w:tcPr>
            <w:tcW w:w="2605" w:type="dxa"/>
          </w:tcPr>
          <w:p w14:paraId="76C1294B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745" w:type="dxa"/>
          </w:tcPr>
          <w:p w14:paraId="6B5A0B4B" w14:textId="77777777" w:rsidR="002405AB" w:rsidRPr="009F7E66" w:rsidRDefault="006F2C4B" w:rsidP="00AF103E">
            <w:pPr>
              <w:pStyle w:val="NoSpacing"/>
            </w:pPr>
            <w:r>
              <w:t xml:space="preserve">Discharges, among cases meeting the inclusion and exclusion rules for the denominator, with any secondary ICD-9-CM diagnosis codes for pressure ulcer and any secondary ICD-9-CM diagnosis codes for pressure ulcer stage III or IV (or </w:t>
            </w:r>
            <w:proofErr w:type="spellStart"/>
            <w:r>
              <w:t>unstageable</w:t>
            </w:r>
            <w:proofErr w:type="spellEnd"/>
            <w:r>
              <w:t xml:space="preserve">). </w:t>
            </w:r>
          </w:p>
        </w:tc>
      </w:tr>
      <w:tr w:rsidR="00787D45" w14:paraId="4D64A8BC" w14:textId="77777777" w:rsidTr="00481B3B">
        <w:tc>
          <w:tcPr>
            <w:tcW w:w="2605" w:type="dxa"/>
          </w:tcPr>
          <w:p w14:paraId="02DD6FC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45" w:type="dxa"/>
          </w:tcPr>
          <w:p w14:paraId="0415A4EC" w14:textId="67DB9417" w:rsidR="00787D45" w:rsidRPr="006F2C4B" w:rsidRDefault="002405AB" w:rsidP="00862E22">
            <w:pPr>
              <w:pStyle w:val="NoSpacing"/>
            </w:pPr>
            <w:r w:rsidRPr="002405AB">
              <w:t xml:space="preserve">Refer to the </w:t>
            </w:r>
            <w:r w:rsidR="001B55B2">
              <w:t xml:space="preserve">hyperlink above to access the </w:t>
            </w:r>
            <w:r w:rsidRPr="002405AB">
              <w:t>Specifications</w:t>
            </w:r>
            <w:r w:rsidR="00862E22">
              <w:t xml:space="preserve"> Manual</w:t>
            </w:r>
            <w:r w:rsidRPr="002405AB">
              <w:t xml:space="preserve"> for specific ICD-9-CM codes.</w:t>
            </w:r>
          </w:p>
        </w:tc>
      </w:tr>
      <w:tr w:rsidR="00787D45" w14:paraId="79627A6D" w14:textId="77777777" w:rsidTr="00481B3B">
        <w:tc>
          <w:tcPr>
            <w:tcW w:w="2605" w:type="dxa"/>
          </w:tcPr>
          <w:p w14:paraId="29AA0B35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45" w:type="dxa"/>
          </w:tcPr>
          <w:p w14:paraId="7B7CAF6A" w14:textId="7777777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6F2C4B">
              <w:t xml:space="preserve"> in the numerator description.</w:t>
            </w:r>
          </w:p>
        </w:tc>
      </w:tr>
      <w:tr w:rsidR="00AD706B" w14:paraId="5A692894" w14:textId="77777777" w:rsidTr="00481B3B">
        <w:tc>
          <w:tcPr>
            <w:tcW w:w="2605" w:type="dxa"/>
          </w:tcPr>
          <w:p w14:paraId="51FFB0C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745" w:type="dxa"/>
          </w:tcPr>
          <w:p w14:paraId="592E25B3" w14:textId="77777777" w:rsidR="00AD706B" w:rsidRDefault="00586376" w:rsidP="00CD7069">
            <w:pPr>
              <w:pStyle w:val="NoSpacing"/>
            </w:pPr>
            <w:r>
              <w:t>Inpatient</w:t>
            </w:r>
          </w:p>
        </w:tc>
      </w:tr>
      <w:tr w:rsidR="00AD706B" w14:paraId="172B0DEF" w14:textId="77777777" w:rsidTr="00481B3B">
        <w:tc>
          <w:tcPr>
            <w:tcW w:w="2605" w:type="dxa"/>
          </w:tcPr>
          <w:p w14:paraId="0F46ACD4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45" w:type="dxa"/>
          </w:tcPr>
          <w:p w14:paraId="25610C8C" w14:textId="77777777" w:rsidR="00AD706B" w:rsidRDefault="00AF3A3D" w:rsidP="00AF3A3D">
            <w:pPr>
              <w:pStyle w:val="NoSpacing"/>
            </w:pPr>
            <w:r>
              <w:t>Administ</w:t>
            </w:r>
            <w:r w:rsidR="00586376">
              <w:t>rative/Clinical data sources</w:t>
            </w:r>
          </w:p>
        </w:tc>
      </w:tr>
      <w:tr w:rsidR="00D50C1F" w14:paraId="49EB8E43" w14:textId="77777777" w:rsidTr="00481B3B">
        <w:tc>
          <w:tcPr>
            <w:tcW w:w="2605" w:type="dxa"/>
          </w:tcPr>
          <w:p w14:paraId="69C250B4" w14:textId="04B810BF" w:rsidR="00D50C1F" w:rsidRPr="00717546" w:rsidRDefault="00D50C1F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45" w:type="dxa"/>
          </w:tcPr>
          <w:p w14:paraId="75868095" w14:textId="77777777" w:rsidR="00D50C1F" w:rsidRDefault="00D50C1F" w:rsidP="00B410EB">
            <w:pPr>
              <w:pStyle w:val="NoSpacing"/>
            </w:pPr>
            <w:r>
              <w:t>All denominator subsets are permissible for this outcome</w:t>
            </w:r>
          </w:p>
          <w:p w14:paraId="43FFB8D5" w14:textId="77777777" w:rsidR="00D50C1F" w:rsidRPr="00B410EB" w:rsidRDefault="00D50C1F" w:rsidP="00B410EB">
            <w:pPr>
              <w:pStyle w:val="NoSpacing"/>
              <w:rPr>
                <w:i/>
              </w:rPr>
            </w:pPr>
            <w:r w:rsidRPr="00B410EB">
              <w:rPr>
                <w:i/>
              </w:rPr>
              <w:t xml:space="preserve">Note: Provider cannot change the location/facility in which the denominator populations are to be measured. </w:t>
            </w:r>
          </w:p>
          <w:p w14:paraId="363FD56D" w14:textId="7AD1B6BB" w:rsidR="00D50C1F" w:rsidRDefault="00D50C1F" w:rsidP="007F7C07">
            <w:pPr>
              <w:pStyle w:val="NoSpacing"/>
            </w:pPr>
            <w:r>
              <w:t> </w:t>
            </w:r>
          </w:p>
        </w:tc>
      </w:tr>
    </w:tbl>
    <w:p w14:paraId="7CA37CFA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318E03" w15:done="0"/>
  <w15:commentEx w15:paraId="5C21FC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92E4D" w14:textId="77777777" w:rsidR="00CB3479" w:rsidRDefault="00CB3479" w:rsidP="00F63191">
      <w:pPr>
        <w:spacing w:after="0" w:line="240" w:lineRule="auto"/>
      </w:pPr>
      <w:r>
        <w:separator/>
      </w:r>
    </w:p>
  </w:endnote>
  <w:endnote w:type="continuationSeparator" w:id="0">
    <w:p w14:paraId="4526579C" w14:textId="77777777" w:rsidR="00CB3479" w:rsidRDefault="00CB3479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B59CF" w14:textId="20480580" w:rsidR="00D50C1F" w:rsidRDefault="00D50C1F">
    <w:pPr>
      <w:pStyle w:val="Footer"/>
    </w:pPr>
    <w:r>
      <w:t>09/</w:t>
    </w:r>
    <w:r w:rsidR="00EE72BC">
      <w:t>24</w:t>
    </w:r>
    <w:r>
      <w:t>/14</w:t>
    </w:r>
  </w:p>
  <w:p w14:paraId="7E3885EF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9B919" w14:textId="77777777" w:rsidR="00CB3479" w:rsidRDefault="00CB3479" w:rsidP="00F63191">
      <w:pPr>
        <w:spacing w:after="0" w:line="240" w:lineRule="auto"/>
      </w:pPr>
      <w:r>
        <w:separator/>
      </w:r>
    </w:p>
  </w:footnote>
  <w:footnote w:type="continuationSeparator" w:id="0">
    <w:p w14:paraId="7EFCCBB1" w14:textId="77777777" w:rsidR="00CB3479" w:rsidRDefault="00CB3479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9495" w14:textId="030EBA28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F92"/>
    <w:multiLevelType w:val="hybridMultilevel"/>
    <w:tmpl w:val="6960E66C"/>
    <w:lvl w:ilvl="0" w:tplc="9DC294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43A0"/>
    <w:multiLevelType w:val="hybridMultilevel"/>
    <w:tmpl w:val="3118CA92"/>
    <w:lvl w:ilvl="0" w:tplc="9DC294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8710C"/>
    <w:multiLevelType w:val="hybridMultilevel"/>
    <w:tmpl w:val="92A2C594"/>
    <w:lvl w:ilvl="0" w:tplc="9DC294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68F9"/>
    <w:multiLevelType w:val="hybridMultilevel"/>
    <w:tmpl w:val="EC3E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527EC"/>
    <w:multiLevelType w:val="hybridMultilevel"/>
    <w:tmpl w:val="E6A03CFC"/>
    <w:lvl w:ilvl="0" w:tplc="9DC2949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5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a Ketchel">
    <w15:presenceInfo w15:providerId="AD" w15:userId="S-1-5-21-565777859-672028841-965413785-1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E7EED"/>
    <w:rsid w:val="00100A2F"/>
    <w:rsid w:val="00107C1A"/>
    <w:rsid w:val="0011709A"/>
    <w:rsid w:val="001262BD"/>
    <w:rsid w:val="0014363E"/>
    <w:rsid w:val="00165D76"/>
    <w:rsid w:val="001B3E32"/>
    <w:rsid w:val="001B55B2"/>
    <w:rsid w:val="001D6BEA"/>
    <w:rsid w:val="002224F0"/>
    <w:rsid w:val="002405AB"/>
    <w:rsid w:val="00245754"/>
    <w:rsid w:val="00271E53"/>
    <w:rsid w:val="002845C2"/>
    <w:rsid w:val="002E14AF"/>
    <w:rsid w:val="00311DCF"/>
    <w:rsid w:val="0032246B"/>
    <w:rsid w:val="00346B8D"/>
    <w:rsid w:val="00356CF4"/>
    <w:rsid w:val="00366D0B"/>
    <w:rsid w:val="00373A67"/>
    <w:rsid w:val="00375652"/>
    <w:rsid w:val="00383516"/>
    <w:rsid w:val="003844DB"/>
    <w:rsid w:val="003A409E"/>
    <w:rsid w:val="003C117B"/>
    <w:rsid w:val="003F4E8D"/>
    <w:rsid w:val="00416E44"/>
    <w:rsid w:val="0043009B"/>
    <w:rsid w:val="00481B3B"/>
    <w:rsid w:val="00502BE4"/>
    <w:rsid w:val="00506BC5"/>
    <w:rsid w:val="00536799"/>
    <w:rsid w:val="005802A0"/>
    <w:rsid w:val="005857E6"/>
    <w:rsid w:val="00586376"/>
    <w:rsid w:val="005A1EFF"/>
    <w:rsid w:val="005B1BB7"/>
    <w:rsid w:val="005B79DD"/>
    <w:rsid w:val="005C70A1"/>
    <w:rsid w:val="005F4D43"/>
    <w:rsid w:val="00602461"/>
    <w:rsid w:val="006B6486"/>
    <w:rsid w:val="006E3604"/>
    <w:rsid w:val="006E3E9C"/>
    <w:rsid w:val="006F10BE"/>
    <w:rsid w:val="006F2C4B"/>
    <w:rsid w:val="007164C7"/>
    <w:rsid w:val="00743628"/>
    <w:rsid w:val="007543D8"/>
    <w:rsid w:val="00760D27"/>
    <w:rsid w:val="00787D45"/>
    <w:rsid w:val="007C728B"/>
    <w:rsid w:val="007C7C85"/>
    <w:rsid w:val="007E0395"/>
    <w:rsid w:val="007F675B"/>
    <w:rsid w:val="007F7C07"/>
    <w:rsid w:val="00806163"/>
    <w:rsid w:val="00823868"/>
    <w:rsid w:val="00827557"/>
    <w:rsid w:val="00862E22"/>
    <w:rsid w:val="008722BB"/>
    <w:rsid w:val="008779F5"/>
    <w:rsid w:val="0088642E"/>
    <w:rsid w:val="00886E0E"/>
    <w:rsid w:val="008A5405"/>
    <w:rsid w:val="008D1A8E"/>
    <w:rsid w:val="008F0411"/>
    <w:rsid w:val="008F249E"/>
    <w:rsid w:val="00927EEE"/>
    <w:rsid w:val="00965A2A"/>
    <w:rsid w:val="00967948"/>
    <w:rsid w:val="00994A41"/>
    <w:rsid w:val="00996DD5"/>
    <w:rsid w:val="009C6EA3"/>
    <w:rsid w:val="009E5FB7"/>
    <w:rsid w:val="009F04D0"/>
    <w:rsid w:val="009F78A7"/>
    <w:rsid w:val="009F7E66"/>
    <w:rsid w:val="00A11BD9"/>
    <w:rsid w:val="00A82574"/>
    <w:rsid w:val="00A9547F"/>
    <w:rsid w:val="00AC3A97"/>
    <w:rsid w:val="00AD706B"/>
    <w:rsid w:val="00AD7145"/>
    <w:rsid w:val="00AF3A3D"/>
    <w:rsid w:val="00B05CBF"/>
    <w:rsid w:val="00B20462"/>
    <w:rsid w:val="00B546CF"/>
    <w:rsid w:val="00B65D92"/>
    <w:rsid w:val="00B7257A"/>
    <w:rsid w:val="00BA61F1"/>
    <w:rsid w:val="00BA6676"/>
    <w:rsid w:val="00BC4643"/>
    <w:rsid w:val="00C01E6F"/>
    <w:rsid w:val="00C86C48"/>
    <w:rsid w:val="00C9758A"/>
    <w:rsid w:val="00CA2D3E"/>
    <w:rsid w:val="00CA4C08"/>
    <w:rsid w:val="00CB3479"/>
    <w:rsid w:val="00CC28BC"/>
    <w:rsid w:val="00CD7069"/>
    <w:rsid w:val="00D1777E"/>
    <w:rsid w:val="00D50C1F"/>
    <w:rsid w:val="00D50F40"/>
    <w:rsid w:val="00D63CD3"/>
    <w:rsid w:val="00DB7651"/>
    <w:rsid w:val="00DE660A"/>
    <w:rsid w:val="00E01904"/>
    <w:rsid w:val="00E43145"/>
    <w:rsid w:val="00EB6678"/>
    <w:rsid w:val="00EE72BC"/>
    <w:rsid w:val="00EF333D"/>
    <w:rsid w:val="00F05C01"/>
    <w:rsid w:val="00F069C3"/>
    <w:rsid w:val="00F06C5E"/>
    <w:rsid w:val="00F15281"/>
    <w:rsid w:val="00F20443"/>
    <w:rsid w:val="00F31F6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5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1B5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1B5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qualityindicators.ahrq.gov/Downloads/Modules/PSI/V45/TechSpecs/PSI%2003%20Pressure%20Ulcer%20Rat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measures.ahrq.gov/content.aspx?id=38513&amp;search=pressure+ulc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ointcommission.org/assets/1/6/NHQM_v4_3a_PDF_10_2_201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6CD0C5-3E4F-40BA-8779-06714AB6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2014-09-24T20:05:00Z</dcterms:created>
  <dcterms:modified xsi:type="dcterms:W3CDTF">2014-09-24T20:05:00Z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