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45AC1" w14:textId="77777777" w:rsidR="00AD706B" w:rsidRDefault="00AE01E9" w:rsidP="00AD706B">
      <w:pPr>
        <w:pStyle w:val="Heading1"/>
      </w:pPr>
      <w:r>
        <w:t>IT-4.1</w:t>
      </w:r>
      <w:r w:rsidR="00AB1999">
        <w:t>6</w:t>
      </w:r>
      <w:r w:rsidR="00EB7647" w:rsidRPr="00EB7647">
        <w:t xml:space="preserve">:  </w:t>
      </w:r>
      <w:r w:rsidR="00031069">
        <w:t>Reduce Unplanned Reoperations</w:t>
      </w:r>
    </w:p>
    <w:tbl>
      <w:tblPr>
        <w:tblStyle w:val="TableGrid"/>
        <w:tblW w:w="0" w:type="auto"/>
        <w:tblLook w:val="04A0" w:firstRow="1" w:lastRow="0" w:firstColumn="1" w:lastColumn="0" w:noHBand="0" w:noVBand="1"/>
      </w:tblPr>
      <w:tblGrid>
        <w:gridCol w:w="2718"/>
        <w:gridCol w:w="2286"/>
        <w:gridCol w:w="2286"/>
        <w:gridCol w:w="2286"/>
      </w:tblGrid>
      <w:tr w:rsidR="00AD706B" w14:paraId="3EA45AC4" w14:textId="77777777" w:rsidTr="0011709A">
        <w:trPr>
          <w:tblHeader/>
        </w:trPr>
        <w:tc>
          <w:tcPr>
            <w:tcW w:w="2718" w:type="dxa"/>
            <w:shd w:val="clear" w:color="auto" w:fill="F2F2F2" w:themeFill="background1" w:themeFillShade="F2"/>
          </w:tcPr>
          <w:p w14:paraId="3EA45AC2" w14:textId="77777777" w:rsidR="00AD706B" w:rsidRPr="00717546" w:rsidRDefault="00AD706B" w:rsidP="00A374B8">
            <w:pPr>
              <w:pStyle w:val="NoSpacing"/>
              <w:rPr>
                <w:b/>
              </w:rPr>
            </w:pPr>
            <w:r w:rsidRPr="00717546">
              <w:rPr>
                <w:b/>
              </w:rPr>
              <w:t>Measure Title</w:t>
            </w:r>
          </w:p>
        </w:tc>
        <w:tc>
          <w:tcPr>
            <w:tcW w:w="6858" w:type="dxa"/>
            <w:gridSpan w:val="3"/>
            <w:shd w:val="clear" w:color="auto" w:fill="F2F2F2" w:themeFill="background1" w:themeFillShade="F2"/>
          </w:tcPr>
          <w:p w14:paraId="3EA45AC3" w14:textId="3D1254B7" w:rsidR="00AD706B" w:rsidRPr="008779F5" w:rsidRDefault="00031069" w:rsidP="00F9250E">
            <w:pPr>
              <w:pStyle w:val="NoSpacing"/>
              <w:rPr>
                <w:b/>
              </w:rPr>
            </w:pPr>
            <w:r w:rsidRPr="00031069">
              <w:rPr>
                <w:b/>
              </w:rPr>
              <w:t>Unplanned return to the operating room: percentage of patients having an unplanned return to the operating/procedure room during the same admission.</w:t>
            </w:r>
          </w:p>
        </w:tc>
      </w:tr>
      <w:tr w:rsidR="00AD706B" w14:paraId="3EA45AC7" w14:textId="77777777" w:rsidTr="00A374B8">
        <w:tc>
          <w:tcPr>
            <w:tcW w:w="2718" w:type="dxa"/>
          </w:tcPr>
          <w:p w14:paraId="3EA45AC5" w14:textId="77777777" w:rsidR="00AD706B" w:rsidRPr="00717546" w:rsidRDefault="00AD706B" w:rsidP="00A374B8">
            <w:pPr>
              <w:pStyle w:val="NoSpacing"/>
              <w:rPr>
                <w:b/>
              </w:rPr>
            </w:pPr>
            <w:r w:rsidRPr="00717546">
              <w:rPr>
                <w:b/>
              </w:rPr>
              <w:t>Description</w:t>
            </w:r>
          </w:p>
        </w:tc>
        <w:tc>
          <w:tcPr>
            <w:tcW w:w="6858" w:type="dxa"/>
            <w:gridSpan w:val="3"/>
          </w:tcPr>
          <w:p w14:paraId="3EA45AC6" w14:textId="0348B27F" w:rsidR="005D0DD4" w:rsidRPr="00651532" w:rsidRDefault="00F81588" w:rsidP="00F9250E">
            <w:pPr>
              <w:pStyle w:val="NoSpacing"/>
            </w:pPr>
            <w:r w:rsidRPr="00F81588">
              <w:t>This measure is used to assess the percentage of patients having an unplanned return to the operating/procedure room during the same admission.</w:t>
            </w:r>
          </w:p>
        </w:tc>
      </w:tr>
      <w:tr w:rsidR="00AD706B" w14:paraId="3EA45ACA" w14:textId="77777777" w:rsidTr="00A374B8">
        <w:tc>
          <w:tcPr>
            <w:tcW w:w="2718" w:type="dxa"/>
          </w:tcPr>
          <w:p w14:paraId="3EA45AC8" w14:textId="77777777" w:rsidR="00AD706B" w:rsidRPr="00717546" w:rsidRDefault="00AD706B" w:rsidP="00A374B8">
            <w:pPr>
              <w:pStyle w:val="NoSpacing"/>
              <w:rPr>
                <w:b/>
              </w:rPr>
            </w:pPr>
            <w:r w:rsidRPr="00717546">
              <w:rPr>
                <w:b/>
              </w:rPr>
              <w:t>NQF Number</w:t>
            </w:r>
          </w:p>
        </w:tc>
        <w:tc>
          <w:tcPr>
            <w:tcW w:w="6858" w:type="dxa"/>
            <w:gridSpan w:val="3"/>
          </w:tcPr>
          <w:p w14:paraId="3EA45AC9" w14:textId="77777777" w:rsidR="00AD706B" w:rsidRDefault="00031069" w:rsidP="00713FD3">
            <w:pPr>
              <w:pStyle w:val="NoSpacing"/>
            </w:pPr>
            <w:r>
              <w:t>Not applicable</w:t>
            </w:r>
          </w:p>
        </w:tc>
      </w:tr>
      <w:tr w:rsidR="00AD706B" w14:paraId="3EA45ACD" w14:textId="77777777" w:rsidTr="003438C3">
        <w:trPr>
          <w:trHeight w:val="197"/>
        </w:trPr>
        <w:tc>
          <w:tcPr>
            <w:tcW w:w="2718" w:type="dxa"/>
          </w:tcPr>
          <w:p w14:paraId="3EA45ACB" w14:textId="77777777" w:rsidR="00AD706B" w:rsidRPr="00717546" w:rsidRDefault="00AD706B" w:rsidP="00A374B8">
            <w:pPr>
              <w:pStyle w:val="NoSpacing"/>
              <w:rPr>
                <w:b/>
              </w:rPr>
            </w:pPr>
            <w:r>
              <w:rPr>
                <w:b/>
              </w:rPr>
              <w:t>Measure Steward</w:t>
            </w:r>
          </w:p>
        </w:tc>
        <w:tc>
          <w:tcPr>
            <w:tcW w:w="6858" w:type="dxa"/>
            <w:gridSpan w:val="3"/>
          </w:tcPr>
          <w:p w14:paraId="3EA45ACC" w14:textId="77777777" w:rsidR="00AD706B" w:rsidRPr="00631E85" w:rsidRDefault="00031069" w:rsidP="00031069">
            <w:pPr>
              <w:pStyle w:val="NoSpacing"/>
            </w:pPr>
            <w:r w:rsidRPr="00031069">
              <w:t>Australian Council on Healthcare Standards</w:t>
            </w:r>
          </w:p>
        </w:tc>
      </w:tr>
      <w:tr w:rsidR="00AD706B" w14:paraId="3EA45AD0" w14:textId="77777777" w:rsidTr="00A374B8">
        <w:tc>
          <w:tcPr>
            <w:tcW w:w="2718" w:type="dxa"/>
          </w:tcPr>
          <w:p w14:paraId="3EA45ACE" w14:textId="77777777" w:rsidR="00AD706B" w:rsidRDefault="00AD706B" w:rsidP="00A374B8">
            <w:pPr>
              <w:pStyle w:val="NoSpacing"/>
              <w:rPr>
                <w:b/>
              </w:rPr>
            </w:pPr>
            <w:r>
              <w:rPr>
                <w:b/>
              </w:rPr>
              <w:t>Link to measure citation</w:t>
            </w:r>
          </w:p>
        </w:tc>
        <w:tc>
          <w:tcPr>
            <w:tcW w:w="6858" w:type="dxa"/>
            <w:gridSpan w:val="3"/>
          </w:tcPr>
          <w:p w14:paraId="3EA45ACF" w14:textId="77777777" w:rsidR="00AD706B" w:rsidRPr="00631E85" w:rsidRDefault="00E033F3" w:rsidP="00561D6D">
            <w:pPr>
              <w:pStyle w:val="NoSpacing"/>
            </w:pPr>
            <w:hyperlink r:id="rId12" w:history="1">
              <w:r w:rsidR="00D63831" w:rsidRPr="001F21EC">
                <w:rPr>
                  <w:rStyle w:val="Hyperlink"/>
                </w:rPr>
                <w:t>http://www.qualitymeasures.ahrq.gov/content.aspx?i</w:t>
              </w:r>
              <w:r w:rsidR="00D63831" w:rsidRPr="001F21EC">
                <w:rPr>
                  <w:rStyle w:val="Hyperlink"/>
                </w:rPr>
                <w:t>d</w:t>
              </w:r>
              <w:r w:rsidR="00D63831" w:rsidRPr="001F21EC">
                <w:rPr>
                  <w:rStyle w:val="Hyperlink"/>
                </w:rPr>
                <w:t>=32819</w:t>
              </w:r>
            </w:hyperlink>
            <w:r w:rsidR="00D63831">
              <w:t xml:space="preserve"> </w:t>
            </w:r>
          </w:p>
        </w:tc>
      </w:tr>
      <w:tr w:rsidR="00AD706B" w14:paraId="3EA45AD3" w14:textId="77777777" w:rsidTr="00A374B8">
        <w:tc>
          <w:tcPr>
            <w:tcW w:w="2718" w:type="dxa"/>
          </w:tcPr>
          <w:p w14:paraId="3EA45AD1" w14:textId="77777777" w:rsidR="00AD706B" w:rsidRDefault="00AD706B" w:rsidP="00A374B8">
            <w:pPr>
              <w:pStyle w:val="NoSpacing"/>
              <w:rPr>
                <w:b/>
              </w:rPr>
            </w:pPr>
            <w:r>
              <w:rPr>
                <w:b/>
              </w:rPr>
              <w:t>Measure type</w:t>
            </w:r>
          </w:p>
        </w:tc>
        <w:tc>
          <w:tcPr>
            <w:tcW w:w="6858" w:type="dxa"/>
            <w:gridSpan w:val="3"/>
          </w:tcPr>
          <w:p w14:paraId="3EA45AD2" w14:textId="77777777" w:rsidR="00AD706B" w:rsidRDefault="00AD706B" w:rsidP="00AD706B">
            <w:pPr>
              <w:pStyle w:val="NoSpacing"/>
            </w:pPr>
            <w:r>
              <w:t>Stand-alone</w:t>
            </w:r>
            <w:r w:rsidR="00165D76">
              <w:t xml:space="preserve"> (SA)</w:t>
            </w:r>
          </w:p>
        </w:tc>
      </w:tr>
      <w:tr w:rsidR="00AD706B" w14:paraId="3EA45AD6" w14:textId="77777777" w:rsidTr="00A374B8">
        <w:tc>
          <w:tcPr>
            <w:tcW w:w="2718" w:type="dxa"/>
          </w:tcPr>
          <w:p w14:paraId="3EA45AD4" w14:textId="77777777" w:rsidR="00AD706B" w:rsidRDefault="00AD706B" w:rsidP="00A374B8">
            <w:pPr>
              <w:pStyle w:val="NoSpacing"/>
              <w:rPr>
                <w:b/>
              </w:rPr>
            </w:pPr>
            <w:r>
              <w:rPr>
                <w:b/>
              </w:rPr>
              <w:t>Measure status</w:t>
            </w:r>
          </w:p>
        </w:tc>
        <w:tc>
          <w:tcPr>
            <w:tcW w:w="6858" w:type="dxa"/>
            <w:gridSpan w:val="3"/>
          </w:tcPr>
          <w:p w14:paraId="3EA45AD5" w14:textId="7787C58C" w:rsidR="00AD706B" w:rsidRDefault="00AB1999" w:rsidP="00647794">
            <w:pPr>
              <w:pStyle w:val="NoSpacing"/>
            </w:pPr>
            <w:r>
              <w:t>P4R</w:t>
            </w:r>
            <w:r w:rsidR="00E72F21">
              <w:t xml:space="preserve">. </w:t>
            </w:r>
            <w:r w:rsidR="00647794">
              <w:t xml:space="preserve"> </w:t>
            </w:r>
            <w:r w:rsidR="00647794">
              <w:t>This measure requires prior authorization for use</w:t>
            </w:r>
          </w:p>
        </w:tc>
      </w:tr>
      <w:tr w:rsidR="00AD706B" w14:paraId="3EA45AD9" w14:textId="77777777" w:rsidTr="00A374B8">
        <w:tc>
          <w:tcPr>
            <w:tcW w:w="2718" w:type="dxa"/>
          </w:tcPr>
          <w:p w14:paraId="3EA45AD7" w14:textId="77777777" w:rsidR="00AD706B" w:rsidRPr="00717546" w:rsidRDefault="00AD706B" w:rsidP="00A374B8">
            <w:pPr>
              <w:pStyle w:val="NoSpacing"/>
              <w:rPr>
                <w:b/>
              </w:rPr>
            </w:pPr>
            <w:r>
              <w:rPr>
                <w:b/>
              </w:rPr>
              <w:t>DSRIP-specific modifications to Measure Steward’s specification</w:t>
            </w:r>
          </w:p>
        </w:tc>
        <w:tc>
          <w:tcPr>
            <w:tcW w:w="6858" w:type="dxa"/>
            <w:gridSpan w:val="3"/>
          </w:tcPr>
          <w:p w14:paraId="193539D1" w14:textId="77777777" w:rsidR="00F9250E" w:rsidRDefault="00F9250E" w:rsidP="00F9250E">
            <w:pPr>
              <w:pStyle w:val="NoSpacing"/>
            </w:pPr>
            <w:r w:rsidRPr="00787D45">
              <w:t>The</w:t>
            </w:r>
            <w:r>
              <w:t xml:space="preserve"> Measure Steward’s specification has been modified as follows:</w:t>
            </w:r>
          </w:p>
          <w:p w14:paraId="3EA45AD8" w14:textId="4205868D" w:rsidR="00637C88" w:rsidRDefault="00F9250E" w:rsidP="00F9250E">
            <w:pPr>
              <w:pStyle w:val="NoSpacing"/>
              <w:numPr>
                <w:ilvl w:val="0"/>
                <w:numId w:val="13"/>
              </w:numPr>
            </w:pPr>
            <w:r w:rsidRPr="00F9250E">
              <w:t>Removed reference to 6 month reporting time period</w:t>
            </w:r>
          </w:p>
        </w:tc>
      </w:tr>
      <w:tr w:rsidR="00AD706B" w14:paraId="3EA45ADC" w14:textId="77777777" w:rsidTr="00A374B8">
        <w:tc>
          <w:tcPr>
            <w:tcW w:w="2718" w:type="dxa"/>
          </w:tcPr>
          <w:p w14:paraId="3EA45ADA"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gridSpan w:val="3"/>
          </w:tcPr>
          <w:p w14:paraId="3EA45ADB" w14:textId="16F46697" w:rsidR="00AD706B" w:rsidRPr="009F7E66" w:rsidRDefault="00F81588" w:rsidP="00F9250E">
            <w:pPr>
              <w:pStyle w:val="NoSpacing"/>
            </w:pPr>
            <w:r w:rsidRPr="00F81588">
              <w:t>Total number of patients who have an operation/procedure performed in the day procedure facility</w:t>
            </w:r>
          </w:p>
        </w:tc>
      </w:tr>
      <w:tr w:rsidR="00787D45" w14:paraId="3EA45ADF" w14:textId="77777777" w:rsidTr="00B05CBF">
        <w:trPr>
          <w:trHeight w:val="728"/>
        </w:trPr>
        <w:tc>
          <w:tcPr>
            <w:tcW w:w="2718" w:type="dxa"/>
          </w:tcPr>
          <w:p w14:paraId="3EA45ADD" w14:textId="77777777" w:rsidR="00787D45" w:rsidRPr="00717546" w:rsidRDefault="00787D45" w:rsidP="00C01E6F">
            <w:pPr>
              <w:pStyle w:val="NoSpacing"/>
              <w:rPr>
                <w:b/>
              </w:rPr>
            </w:pPr>
            <w:r>
              <w:rPr>
                <w:b/>
              </w:rPr>
              <w:t>Denominator Inclusions</w:t>
            </w:r>
          </w:p>
        </w:tc>
        <w:tc>
          <w:tcPr>
            <w:tcW w:w="6858" w:type="dxa"/>
            <w:gridSpan w:val="3"/>
          </w:tcPr>
          <w:p w14:paraId="3EA45ADE" w14:textId="39106807" w:rsidR="00787D45" w:rsidRPr="0012650D" w:rsidRDefault="00F81588" w:rsidP="00567B0E">
            <w:pPr>
              <w:pStyle w:val="NoSpacing"/>
              <w:rPr>
                <w:b/>
              </w:rPr>
            </w:pPr>
            <w:r w:rsidRPr="00F81588">
              <w:t>Total number of patients who have an operation/procedure performed in the day procedure facility</w:t>
            </w:r>
            <w:r w:rsidR="00567B0E">
              <w:t>.</w:t>
            </w:r>
          </w:p>
        </w:tc>
      </w:tr>
      <w:tr w:rsidR="00787D45" w14:paraId="3EA45AE3" w14:textId="77777777" w:rsidTr="00B05CBF">
        <w:trPr>
          <w:trHeight w:val="710"/>
        </w:trPr>
        <w:tc>
          <w:tcPr>
            <w:tcW w:w="2718" w:type="dxa"/>
          </w:tcPr>
          <w:p w14:paraId="3EA45AE0" w14:textId="77777777" w:rsidR="00787D45" w:rsidRPr="00717546" w:rsidRDefault="00787D45" w:rsidP="00C01E6F">
            <w:pPr>
              <w:pStyle w:val="NoSpacing"/>
              <w:rPr>
                <w:b/>
              </w:rPr>
            </w:pPr>
            <w:r>
              <w:rPr>
                <w:b/>
              </w:rPr>
              <w:t>Denominator Exclusions</w:t>
            </w:r>
          </w:p>
        </w:tc>
        <w:tc>
          <w:tcPr>
            <w:tcW w:w="6858" w:type="dxa"/>
            <w:gridSpan w:val="3"/>
          </w:tcPr>
          <w:p w14:paraId="3EA45AE1" w14:textId="27A8E764" w:rsidR="00F81588" w:rsidRDefault="00F81588" w:rsidP="00F81588">
            <w:pPr>
              <w:pStyle w:val="NoSpacing"/>
            </w:pPr>
            <w:r>
              <w:t xml:space="preserve">• </w:t>
            </w:r>
          </w:p>
          <w:p w14:paraId="3EA45AE2" w14:textId="77777777" w:rsidR="00787D45" w:rsidRPr="001D6BEA" w:rsidRDefault="00F81588" w:rsidP="00F81588">
            <w:pPr>
              <w:pStyle w:val="NoSpacing"/>
            </w:pPr>
            <w:r>
              <w:t>• Exclude patients whose procedures were cancelled.</w:t>
            </w:r>
          </w:p>
        </w:tc>
      </w:tr>
      <w:tr w:rsidR="00D63CD3" w14:paraId="3EA45AE9" w14:textId="77777777" w:rsidTr="00A374B8">
        <w:tc>
          <w:tcPr>
            <w:tcW w:w="2718" w:type="dxa"/>
          </w:tcPr>
          <w:p w14:paraId="3EA45AE4" w14:textId="77777777" w:rsidR="00D63CD3" w:rsidRDefault="00D63CD3" w:rsidP="00AF103E">
            <w:pPr>
              <w:pStyle w:val="NoSpacing"/>
              <w:rPr>
                <w:b/>
              </w:rPr>
            </w:pPr>
            <w:r>
              <w:rPr>
                <w:b/>
              </w:rPr>
              <w:t>Denominator Size</w:t>
            </w:r>
          </w:p>
        </w:tc>
        <w:tc>
          <w:tcPr>
            <w:tcW w:w="6858" w:type="dxa"/>
            <w:gridSpan w:val="3"/>
          </w:tcPr>
          <w:p w14:paraId="3EA45AE5"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3EA45AE6"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3EA45AE7"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EA45AE8"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EA45AEC" w14:textId="77777777" w:rsidTr="00A374B8">
        <w:tc>
          <w:tcPr>
            <w:tcW w:w="2718" w:type="dxa"/>
          </w:tcPr>
          <w:p w14:paraId="3EA45AEA" w14:textId="77777777" w:rsidR="00AC3A97" w:rsidRPr="00717546" w:rsidRDefault="00AC3A97" w:rsidP="00AF103E">
            <w:pPr>
              <w:pStyle w:val="NoSpacing"/>
              <w:rPr>
                <w:b/>
              </w:rPr>
            </w:pPr>
            <w:r>
              <w:rPr>
                <w:b/>
              </w:rPr>
              <w:t xml:space="preserve">Numerator Description </w:t>
            </w:r>
          </w:p>
        </w:tc>
        <w:tc>
          <w:tcPr>
            <w:tcW w:w="6858" w:type="dxa"/>
            <w:gridSpan w:val="3"/>
          </w:tcPr>
          <w:p w14:paraId="3EA45AEB" w14:textId="15C1A3DE" w:rsidR="00AC3A97" w:rsidRPr="009F7E66" w:rsidRDefault="00F81588" w:rsidP="00567B0E">
            <w:pPr>
              <w:pStyle w:val="NoSpacing"/>
            </w:pPr>
            <w:r w:rsidRPr="00F81588">
              <w:t>Total number of patients having an unplanned return to the operating/procedure room during the same admission</w:t>
            </w:r>
          </w:p>
        </w:tc>
      </w:tr>
      <w:tr w:rsidR="00787D45" w14:paraId="3EA45AF3" w14:textId="77777777" w:rsidTr="00A374B8">
        <w:tc>
          <w:tcPr>
            <w:tcW w:w="2718" w:type="dxa"/>
          </w:tcPr>
          <w:p w14:paraId="3EA45AED" w14:textId="77777777" w:rsidR="00787D45" w:rsidRPr="00717546" w:rsidRDefault="00787D45" w:rsidP="00AF103E">
            <w:pPr>
              <w:pStyle w:val="NoSpacing"/>
              <w:rPr>
                <w:b/>
              </w:rPr>
            </w:pPr>
            <w:r>
              <w:rPr>
                <w:b/>
              </w:rPr>
              <w:t>Numerator Inclusions</w:t>
            </w:r>
          </w:p>
        </w:tc>
        <w:tc>
          <w:tcPr>
            <w:tcW w:w="6858" w:type="dxa"/>
            <w:gridSpan w:val="3"/>
          </w:tcPr>
          <w:p w14:paraId="3EA45AEE" w14:textId="40B8395A" w:rsidR="00F81588" w:rsidRDefault="00F81588" w:rsidP="00F81588">
            <w:pPr>
              <w:pStyle w:val="NoSpacing"/>
            </w:pPr>
            <w:r>
              <w:t xml:space="preserve">Total number of patients having an unplanned return* to the operating/procedure room** during the same admission </w:t>
            </w:r>
          </w:p>
          <w:p w14:paraId="3EA45AEF" w14:textId="77777777" w:rsidR="00F81588" w:rsidRDefault="00F81588" w:rsidP="00F81588">
            <w:pPr>
              <w:pStyle w:val="NoSpacing"/>
            </w:pPr>
          </w:p>
          <w:p w14:paraId="3EA45AF0" w14:textId="77777777" w:rsidR="00F81588" w:rsidRDefault="00F81588" w:rsidP="00F81588">
            <w:pPr>
              <w:pStyle w:val="NoSpacing"/>
            </w:pPr>
            <w:r>
              <w:t xml:space="preserve">*Unplanned return is defined as an unplanned re-entry to the </w:t>
            </w:r>
            <w:r>
              <w:lastRenderedPageBreak/>
              <w:t>operating/procedure room for a further procedure on the same day as the patient's initial operation/procedure.</w:t>
            </w:r>
          </w:p>
          <w:p w14:paraId="3EA45AF1" w14:textId="77777777" w:rsidR="00F81588" w:rsidRDefault="00F81588" w:rsidP="00F81588">
            <w:pPr>
              <w:pStyle w:val="NoSpacing"/>
            </w:pPr>
          </w:p>
          <w:p w14:paraId="3EA45AF2" w14:textId="77777777" w:rsidR="00787D45" w:rsidRPr="0012650D" w:rsidRDefault="00F81588" w:rsidP="00F81588">
            <w:pPr>
              <w:pStyle w:val="NoSpacing"/>
              <w:rPr>
                <w:b/>
              </w:rPr>
            </w:pPr>
            <w:r>
              <w:t>**Operating room is defined as a room within a complex, which is specifically equipped for the performance of surgery and other therapeutic/diagnostic/endoscopic procedures.</w:t>
            </w:r>
          </w:p>
        </w:tc>
      </w:tr>
      <w:tr w:rsidR="00787D45" w14:paraId="3EA45AF6" w14:textId="77777777" w:rsidTr="00A374B8">
        <w:tc>
          <w:tcPr>
            <w:tcW w:w="2718" w:type="dxa"/>
          </w:tcPr>
          <w:p w14:paraId="3EA45AF4" w14:textId="77777777" w:rsidR="00787D45" w:rsidRPr="00717546" w:rsidRDefault="00787D45" w:rsidP="00AF103E">
            <w:pPr>
              <w:pStyle w:val="NoSpacing"/>
              <w:rPr>
                <w:b/>
              </w:rPr>
            </w:pPr>
            <w:r>
              <w:rPr>
                <w:b/>
              </w:rPr>
              <w:lastRenderedPageBreak/>
              <w:t>Numerator Exclusions</w:t>
            </w:r>
          </w:p>
        </w:tc>
        <w:tc>
          <w:tcPr>
            <w:tcW w:w="6858" w:type="dxa"/>
            <w:gridSpan w:val="3"/>
          </w:tcPr>
          <w:p w14:paraId="3EA45AF5" w14:textId="77777777" w:rsidR="00787D45" w:rsidRPr="001D6BEA" w:rsidRDefault="00787D45" w:rsidP="002F15E3">
            <w:pPr>
              <w:pStyle w:val="NoSpacing"/>
            </w:pPr>
            <w:r>
              <w:t>The Measure Steward does not identify specific numerator exclusions beyond what is described in the numerator description.</w:t>
            </w:r>
          </w:p>
        </w:tc>
      </w:tr>
      <w:tr w:rsidR="00AD706B" w14:paraId="3EA45AF9" w14:textId="77777777" w:rsidTr="00A374B8">
        <w:tc>
          <w:tcPr>
            <w:tcW w:w="2718" w:type="dxa"/>
          </w:tcPr>
          <w:p w14:paraId="3EA45AF7" w14:textId="77777777" w:rsidR="00AD706B" w:rsidRPr="00717546" w:rsidRDefault="00AD706B" w:rsidP="00A374B8">
            <w:pPr>
              <w:pStyle w:val="NoSpacing"/>
              <w:rPr>
                <w:b/>
              </w:rPr>
            </w:pPr>
            <w:r>
              <w:rPr>
                <w:b/>
              </w:rPr>
              <w:t>Setting</w:t>
            </w:r>
          </w:p>
        </w:tc>
        <w:tc>
          <w:tcPr>
            <w:tcW w:w="6858" w:type="dxa"/>
            <w:gridSpan w:val="3"/>
          </w:tcPr>
          <w:p w14:paraId="3EA45AF8" w14:textId="77777777" w:rsidR="00AD706B" w:rsidRDefault="00AD706B" w:rsidP="00CD7069">
            <w:pPr>
              <w:pStyle w:val="NoSpacing"/>
            </w:pPr>
            <w:r>
              <w:t>Inpatient</w:t>
            </w:r>
          </w:p>
        </w:tc>
      </w:tr>
      <w:tr w:rsidR="00AD706B" w14:paraId="3EA45AFC" w14:textId="77777777" w:rsidTr="00A374B8">
        <w:tc>
          <w:tcPr>
            <w:tcW w:w="2718" w:type="dxa"/>
          </w:tcPr>
          <w:p w14:paraId="3EA45AFA" w14:textId="77777777" w:rsidR="00AD706B" w:rsidRDefault="00AD706B" w:rsidP="00A374B8">
            <w:pPr>
              <w:pStyle w:val="NoSpacing"/>
              <w:rPr>
                <w:b/>
              </w:rPr>
            </w:pPr>
            <w:r>
              <w:rPr>
                <w:b/>
              </w:rPr>
              <w:t>Data Source</w:t>
            </w:r>
          </w:p>
        </w:tc>
        <w:tc>
          <w:tcPr>
            <w:tcW w:w="6858" w:type="dxa"/>
            <w:gridSpan w:val="3"/>
          </w:tcPr>
          <w:p w14:paraId="3EA45AFB" w14:textId="77777777" w:rsidR="00AD706B" w:rsidRDefault="00031069" w:rsidP="00AF3A3D">
            <w:pPr>
              <w:pStyle w:val="NoSpacing"/>
            </w:pPr>
            <w:r w:rsidRPr="00031069">
              <w:t>Administrative/Clinical data sources</w:t>
            </w:r>
            <w:r w:rsidR="00F81588">
              <w:t xml:space="preserve">, </w:t>
            </w:r>
            <w:r w:rsidRPr="00031069">
              <w:t xml:space="preserve">Paper </w:t>
            </w:r>
            <w:r w:rsidR="00F81588">
              <w:t xml:space="preserve">Medical </w:t>
            </w:r>
            <w:r w:rsidRPr="00031069">
              <w:t>Records</w:t>
            </w:r>
          </w:p>
        </w:tc>
      </w:tr>
      <w:tr w:rsidR="00AD706B" w14:paraId="3EA45B1B" w14:textId="77777777" w:rsidTr="00A374B8">
        <w:tc>
          <w:tcPr>
            <w:tcW w:w="2718" w:type="dxa"/>
          </w:tcPr>
          <w:p w14:paraId="3EA45AFD"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6858" w:type="dxa"/>
            <w:gridSpan w:val="3"/>
          </w:tcPr>
          <w:p w14:paraId="3EA45AFE"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3EA45AFF" w14:textId="77777777" w:rsidR="00561D6D" w:rsidRDefault="00561D6D" w:rsidP="00A374B8">
            <w:pPr>
              <w:pStyle w:val="NoSpacing"/>
            </w:pPr>
          </w:p>
          <w:p w14:paraId="3EA45B00"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3EA45B01" w14:textId="77777777" w:rsidR="007F7C07" w:rsidRDefault="00416E44" w:rsidP="007F7C07">
            <w:pPr>
              <w:pStyle w:val="NoSpacing"/>
              <w:numPr>
                <w:ilvl w:val="0"/>
                <w:numId w:val="5"/>
              </w:numPr>
            </w:pPr>
            <w:r>
              <w:t>Medicaid</w:t>
            </w:r>
          </w:p>
          <w:p w14:paraId="3EA45B02" w14:textId="77777777" w:rsidR="007F7C07" w:rsidRDefault="007F7C07" w:rsidP="007F7C07">
            <w:pPr>
              <w:pStyle w:val="NoSpacing"/>
              <w:numPr>
                <w:ilvl w:val="0"/>
                <w:numId w:val="5"/>
              </w:numPr>
            </w:pPr>
            <w:r>
              <w:t>Uninsured</w:t>
            </w:r>
            <w:r w:rsidR="00366D0B">
              <w:t>/Indigent</w:t>
            </w:r>
          </w:p>
          <w:p w14:paraId="3EA45B03" w14:textId="77777777" w:rsidR="00366D0B" w:rsidRDefault="00366D0B" w:rsidP="007F7C07">
            <w:pPr>
              <w:pStyle w:val="NoSpacing"/>
              <w:numPr>
                <w:ilvl w:val="0"/>
                <w:numId w:val="5"/>
              </w:numPr>
            </w:pPr>
            <w:r>
              <w:t>Both: Medicaid and Uninsured/Indigent</w:t>
            </w:r>
          </w:p>
          <w:p w14:paraId="3EA45B04" w14:textId="77777777" w:rsidR="000E7EED" w:rsidRDefault="000E7EED" w:rsidP="00A374B8">
            <w:pPr>
              <w:pStyle w:val="NoSpacing"/>
            </w:pPr>
          </w:p>
          <w:p w14:paraId="3EA45B05"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3EA45B06" w14:textId="77777777" w:rsidR="007F7C07" w:rsidRDefault="007F7C07" w:rsidP="007F7C07">
            <w:pPr>
              <w:pStyle w:val="NoSpacing"/>
              <w:numPr>
                <w:ilvl w:val="0"/>
                <w:numId w:val="6"/>
              </w:numPr>
            </w:pPr>
            <w:r>
              <w:t>Male</w:t>
            </w:r>
          </w:p>
          <w:p w14:paraId="3EA45B07" w14:textId="77777777" w:rsidR="007F7C07" w:rsidRDefault="007F7C07" w:rsidP="007F7C07">
            <w:pPr>
              <w:pStyle w:val="NoSpacing"/>
              <w:numPr>
                <w:ilvl w:val="0"/>
                <w:numId w:val="6"/>
              </w:numPr>
            </w:pPr>
            <w:r>
              <w:t>Female</w:t>
            </w:r>
          </w:p>
          <w:p w14:paraId="3EA45B08" w14:textId="77777777" w:rsidR="007F7C07" w:rsidRDefault="007F7C07" w:rsidP="00CA4C08">
            <w:pPr>
              <w:pStyle w:val="NoSpacing"/>
            </w:pPr>
          </w:p>
          <w:p w14:paraId="3EA45B09"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3EA45B0A" w14:textId="77777777" w:rsidR="007F7C07" w:rsidRDefault="007F7C07" w:rsidP="007F7C07">
            <w:pPr>
              <w:pStyle w:val="NoSpacing"/>
              <w:numPr>
                <w:ilvl w:val="0"/>
                <w:numId w:val="7"/>
              </w:numPr>
            </w:pPr>
            <w:r>
              <w:t>White/Caucasian</w:t>
            </w:r>
          </w:p>
          <w:p w14:paraId="3EA45B0B" w14:textId="77777777" w:rsidR="007F7C07" w:rsidRDefault="007F7C07" w:rsidP="007F7C07">
            <w:pPr>
              <w:pStyle w:val="NoSpacing"/>
              <w:numPr>
                <w:ilvl w:val="0"/>
                <w:numId w:val="7"/>
              </w:numPr>
            </w:pPr>
            <w:r>
              <w:t>Black/African American</w:t>
            </w:r>
          </w:p>
          <w:p w14:paraId="3EA45B0C" w14:textId="77777777" w:rsidR="007F7C07" w:rsidRDefault="007F7C07" w:rsidP="007F7C07">
            <w:pPr>
              <w:pStyle w:val="NoSpacing"/>
              <w:numPr>
                <w:ilvl w:val="0"/>
                <w:numId w:val="7"/>
              </w:numPr>
            </w:pPr>
            <w:r>
              <w:t>Latino/Hispanic</w:t>
            </w:r>
          </w:p>
          <w:p w14:paraId="3EA45B0D" w14:textId="77777777" w:rsidR="007F7C07" w:rsidRDefault="007F7C07" w:rsidP="007F7C07">
            <w:pPr>
              <w:pStyle w:val="NoSpacing"/>
              <w:numPr>
                <w:ilvl w:val="0"/>
                <w:numId w:val="7"/>
              </w:numPr>
            </w:pPr>
            <w:r>
              <w:t>Asian</w:t>
            </w:r>
          </w:p>
          <w:p w14:paraId="3EA45B0E" w14:textId="77777777" w:rsidR="007F7C07" w:rsidRDefault="007F7C07" w:rsidP="007F7C07">
            <w:pPr>
              <w:pStyle w:val="NoSpacing"/>
              <w:numPr>
                <w:ilvl w:val="0"/>
                <w:numId w:val="7"/>
              </w:numPr>
            </w:pPr>
            <w:r>
              <w:t>American Indian/Alaskan Native</w:t>
            </w:r>
          </w:p>
          <w:p w14:paraId="3EA45B0F" w14:textId="77777777" w:rsidR="007F7C07" w:rsidRDefault="007F7C07" w:rsidP="007F7C07">
            <w:pPr>
              <w:pStyle w:val="NoSpacing"/>
              <w:numPr>
                <w:ilvl w:val="0"/>
                <w:numId w:val="7"/>
              </w:numPr>
            </w:pPr>
            <w:r>
              <w:t>Native Hawaiian/Other Pacific Islander</w:t>
            </w:r>
          </w:p>
          <w:p w14:paraId="3EA45B10" w14:textId="77777777" w:rsidR="007F7C07" w:rsidRDefault="007F7C07" w:rsidP="00CA4C08">
            <w:pPr>
              <w:pStyle w:val="NoSpacing"/>
            </w:pPr>
          </w:p>
          <w:p w14:paraId="3EA45B11" w14:textId="77777777" w:rsidR="007F7C07" w:rsidRDefault="007F7C07" w:rsidP="00CA4C08">
            <w:pPr>
              <w:pStyle w:val="NoSpacing"/>
            </w:pPr>
            <w:r w:rsidRPr="007F7C07">
              <w:rPr>
                <w:b/>
              </w:rPr>
              <w:t>Age:</w:t>
            </w:r>
            <w:r>
              <w:t xml:space="preserve"> Providers may define the denominator population such that it is limited to an age range:</w:t>
            </w:r>
          </w:p>
          <w:p w14:paraId="3EA45B12" w14:textId="77777777" w:rsidR="007F7C07" w:rsidRDefault="007F7C07" w:rsidP="007F7C07">
            <w:pPr>
              <w:pStyle w:val="NoSpacing"/>
              <w:ind w:left="720"/>
            </w:pPr>
            <w:r>
              <w:t>Lower Bound: ____ (Provider defined)</w:t>
            </w:r>
          </w:p>
          <w:p w14:paraId="3EA45B13" w14:textId="77777777" w:rsidR="007F7C07" w:rsidRDefault="007F7C07" w:rsidP="007F7C07">
            <w:pPr>
              <w:pStyle w:val="NoSpacing"/>
              <w:ind w:left="720"/>
            </w:pPr>
            <w:r>
              <w:t>Upper Bound: ____ (Provider defined)</w:t>
            </w:r>
          </w:p>
          <w:p w14:paraId="3EA45B14" w14:textId="77777777" w:rsidR="00CA4C08" w:rsidRDefault="00CA4C08" w:rsidP="00CA4C08">
            <w:pPr>
              <w:pStyle w:val="NoSpacing"/>
            </w:pPr>
          </w:p>
          <w:p w14:paraId="57F8C64B" w14:textId="5A896EFF" w:rsidR="00637C88" w:rsidRDefault="007F7C07" w:rsidP="00637C88">
            <w:pPr>
              <w:pStyle w:val="NoSpacing"/>
            </w:pPr>
            <w:r>
              <w:rPr>
                <w:b/>
              </w:rPr>
              <w:t>Comorbid Condition</w:t>
            </w:r>
            <w:r w:rsidRPr="007F7C07">
              <w:rPr>
                <w:b/>
              </w:rPr>
              <w:t>:</w:t>
            </w:r>
            <w:r>
              <w:t xml:space="preserve"> </w:t>
            </w:r>
            <w:r w:rsidR="00637C88">
              <w:t>Providers may define the denominator population such that it is limited to individuals with one or more comorbid conditions:</w:t>
            </w:r>
          </w:p>
          <w:p w14:paraId="3EA45B15" w14:textId="08379917" w:rsidR="007F7C07" w:rsidRDefault="007F7C07" w:rsidP="007F7C07">
            <w:pPr>
              <w:pStyle w:val="NoSpacing"/>
            </w:pPr>
          </w:p>
          <w:p w14:paraId="3EA45B16" w14:textId="77777777" w:rsidR="007F7C07" w:rsidRDefault="007F7C07" w:rsidP="00A82574">
            <w:pPr>
              <w:pStyle w:val="NoSpacing"/>
              <w:ind w:left="720"/>
            </w:pPr>
            <w:r>
              <w:lastRenderedPageBreak/>
              <w:t>Comorbid condition: ______________ (Provider defined)</w:t>
            </w:r>
          </w:p>
          <w:p w14:paraId="3EA45B17" w14:textId="77777777" w:rsidR="007F7C07" w:rsidRDefault="007F7C07" w:rsidP="00CA4C08">
            <w:pPr>
              <w:pStyle w:val="NoSpacing"/>
            </w:pPr>
          </w:p>
          <w:p w14:paraId="3EA45B18"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3EA45B19" w14:textId="77777777" w:rsidR="007F7C07" w:rsidRDefault="007F7C07" w:rsidP="00A82574">
            <w:pPr>
              <w:pStyle w:val="NoSpacing"/>
              <w:ind w:left="720"/>
            </w:pPr>
            <w:r>
              <w:t xml:space="preserve">Service Setting/Delivery Location(s): ______________ (Provider defined) </w:t>
            </w:r>
          </w:p>
          <w:p w14:paraId="3EA45B1A" w14:textId="77777777" w:rsidR="00F927B0" w:rsidRDefault="00CA4C08" w:rsidP="007F7C07">
            <w:pPr>
              <w:pStyle w:val="NoSpacing"/>
            </w:pPr>
            <w:r>
              <w:t> </w:t>
            </w:r>
          </w:p>
        </w:tc>
      </w:tr>
      <w:tr w:rsidR="00AD706B" w14:paraId="3EA45B23" w14:textId="77777777" w:rsidTr="00A374B8">
        <w:tc>
          <w:tcPr>
            <w:tcW w:w="2718" w:type="dxa"/>
          </w:tcPr>
          <w:p w14:paraId="3EA45B1C" w14:textId="77777777" w:rsidR="00AD706B" w:rsidRDefault="00AD706B" w:rsidP="00A374B8">
            <w:pPr>
              <w:pStyle w:val="NoSpacing"/>
              <w:rPr>
                <w:b/>
              </w:rPr>
            </w:pPr>
            <w:r>
              <w:rPr>
                <w:b/>
              </w:rPr>
              <w:lastRenderedPageBreak/>
              <w:t>Demonstration Years</w:t>
            </w:r>
          </w:p>
        </w:tc>
        <w:tc>
          <w:tcPr>
            <w:tcW w:w="2286" w:type="dxa"/>
            <w:shd w:val="clear" w:color="auto" w:fill="D9D9D9" w:themeFill="background1" w:themeFillShade="D9"/>
          </w:tcPr>
          <w:p w14:paraId="3EA45B1D" w14:textId="77777777" w:rsidR="00AD706B" w:rsidRPr="0031250D" w:rsidRDefault="00AD706B" w:rsidP="00A374B8">
            <w:pPr>
              <w:pStyle w:val="NoSpacing"/>
              <w:jc w:val="center"/>
              <w:rPr>
                <w:b/>
              </w:rPr>
            </w:pPr>
            <w:r w:rsidRPr="0031250D">
              <w:rPr>
                <w:b/>
              </w:rPr>
              <w:t>DY3</w:t>
            </w:r>
          </w:p>
          <w:p w14:paraId="3EA45B1E"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286" w:type="dxa"/>
            <w:shd w:val="clear" w:color="auto" w:fill="D9D9D9" w:themeFill="background1" w:themeFillShade="D9"/>
          </w:tcPr>
          <w:p w14:paraId="3EA45B1F" w14:textId="77777777" w:rsidR="00AD706B" w:rsidRPr="0031250D" w:rsidRDefault="00AD706B" w:rsidP="00A374B8">
            <w:pPr>
              <w:pStyle w:val="NoSpacing"/>
              <w:jc w:val="center"/>
              <w:rPr>
                <w:b/>
              </w:rPr>
            </w:pPr>
            <w:r w:rsidRPr="0031250D">
              <w:rPr>
                <w:b/>
              </w:rPr>
              <w:t>DY4</w:t>
            </w:r>
          </w:p>
          <w:p w14:paraId="3EA45B20"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286" w:type="dxa"/>
            <w:shd w:val="clear" w:color="auto" w:fill="D9D9D9" w:themeFill="background1" w:themeFillShade="D9"/>
          </w:tcPr>
          <w:p w14:paraId="3EA45B21" w14:textId="77777777" w:rsidR="00AD706B" w:rsidRPr="0031250D" w:rsidRDefault="00AD706B" w:rsidP="00A374B8">
            <w:pPr>
              <w:pStyle w:val="NoSpacing"/>
              <w:jc w:val="center"/>
              <w:rPr>
                <w:b/>
              </w:rPr>
            </w:pPr>
            <w:r w:rsidRPr="0031250D">
              <w:rPr>
                <w:b/>
              </w:rPr>
              <w:t>DY5</w:t>
            </w:r>
          </w:p>
          <w:p w14:paraId="3EA45B22"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3EA45B35" w14:textId="77777777" w:rsidTr="00A374B8">
        <w:tc>
          <w:tcPr>
            <w:tcW w:w="2718" w:type="dxa"/>
          </w:tcPr>
          <w:p w14:paraId="3EA45B24" w14:textId="77777777" w:rsidR="00AD706B" w:rsidRDefault="00AD706B" w:rsidP="00A374B8">
            <w:pPr>
              <w:pStyle w:val="NoSpacing"/>
              <w:rPr>
                <w:b/>
              </w:rPr>
            </w:pPr>
            <w:r>
              <w:rPr>
                <w:b/>
              </w:rPr>
              <w:t>Measurement Periods</w:t>
            </w:r>
          </w:p>
          <w:p w14:paraId="3EA45B25" w14:textId="77777777" w:rsidR="007C728B" w:rsidRDefault="007C728B" w:rsidP="00A374B8">
            <w:pPr>
              <w:pStyle w:val="NoSpacing"/>
              <w:rPr>
                <w:b/>
              </w:rPr>
            </w:pPr>
          </w:p>
          <w:p w14:paraId="3EA45B26"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286" w:type="dxa"/>
          </w:tcPr>
          <w:p w14:paraId="16DBB272" w14:textId="142CFAB2" w:rsidR="00637C88" w:rsidRDefault="00637C88" w:rsidP="00637C88">
            <w:pPr>
              <w:pStyle w:val="NoSpacing"/>
              <w:rPr>
                <w:rFonts w:ascii="Calibri" w:hAnsi="Calibri"/>
                <w:b/>
                <w:bCs/>
              </w:rPr>
            </w:pPr>
            <w:r>
              <w:rPr>
                <w:b/>
                <w:bCs/>
              </w:rPr>
              <w:t xml:space="preserve"> </w:t>
            </w:r>
            <w:r>
              <w:rPr>
                <w:b/>
                <w:bCs/>
              </w:rPr>
              <w:t xml:space="preserve">Providers must report data for </w:t>
            </w:r>
            <w:r>
              <w:rPr>
                <w:b/>
                <w:bCs/>
                <w:u w:val="single"/>
              </w:rPr>
              <w:t>one</w:t>
            </w:r>
            <w:r>
              <w:rPr>
                <w:b/>
                <w:bCs/>
              </w:rPr>
              <w:t xml:space="preserve"> of the following DY, SFY, or CY time periods:</w:t>
            </w:r>
          </w:p>
          <w:p w14:paraId="05597DD5" w14:textId="77777777" w:rsidR="00637C88" w:rsidRDefault="00637C88" w:rsidP="00637C88">
            <w:pPr>
              <w:pStyle w:val="NoSpacing"/>
            </w:pPr>
            <w:r>
              <w:rPr>
                <w:u w:val="single"/>
              </w:rPr>
              <w:t>12 Month Period</w:t>
            </w:r>
            <w:r>
              <w:t xml:space="preserve">: </w:t>
            </w:r>
          </w:p>
          <w:p w14:paraId="553D139E" w14:textId="77777777" w:rsidR="00637C88" w:rsidRDefault="00637C88" w:rsidP="00637C88">
            <w:pPr>
              <w:pStyle w:val="NoSpacing"/>
              <w:numPr>
                <w:ilvl w:val="0"/>
                <w:numId w:val="14"/>
              </w:numPr>
              <w:ind w:left="504"/>
            </w:pPr>
            <w:r>
              <w:t xml:space="preserve">10/01/13 – 09/30/14, or </w:t>
            </w:r>
          </w:p>
          <w:p w14:paraId="232679EE" w14:textId="77777777" w:rsidR="00637C88" w:rsidRDefault="00637C88" w:rsidP="00637C88">
            <w:pPr>
              <w:pStyle w:val="NoSpacing"/>
              <w:numPr>
                <w:ilvl w:val="0"/>
                <w:numId w:val="14"/>
              </w:numPr>
              <w:ind w:left="504"/>
            </w:pPr>
            <w:r>
              <w:t>09/01/13 – 08/31/14, or</w:t>
            </w:r>
          </w:p>
          <w:p w14:paraId="162057A9" w14:textId="77777777" w:rsidR="00637C88" w:rsidRDefault="00637C88" w:rsidP="00637C88">
            <w:pPr>
              <w:pStyle w:val="NoSpacing"/>
              <w:numPr>
                <w:ilvl w:val="0"/>
                <w:numId w:val="14"/>
              </w:numPr>
              <w:ind w:left="504"/>
            </w:pPr>
            <w:r>
              <w:t>01/01/13 – 12/31/13, or</w:t>
            </w:r>
          </w:p>
          <w:p w14:paraId="71CFAAB6" w14:textId="77777777" w:rsidR="00637C88" w:rsidRDefault="00637C88" w:rsidP="00637C88">
            <w:pPr>
              <w:pStyle w:val="NoSpacing"/>
              <w:numPr>
                <w:ilvl w:val="0"/>
                <w:numId w:val="14"/>
              </w:numPr>
              <w:ind w:left="504"/>
            </w:pPr>
            <w:r>
              <w:t>10/01/12 – 09/30/13, or</w:t>
            </w:r>
          </w:p>
          <w:p w14:paraId="46D4EA6C" w14:textId="77777777" w:rsidR="00637C88" w:rsidRDefault="00637C88" w:rsidP="00637C88">
            <w:pPr>
              <w:pStyle w:val="NoSpacing"/>
              <w:numPr>
                <w:ilvl w:val="0"/>
                <w:numId w:val="14"/>
              </w:numPr>
              <w:ind w:left="504"/>
            </w:pPr>
            <w:r>
              <w:t>09/01/12 – 08/31/13</w:t>
            </w:r>
          </w:p>
          <w:p w14:paraId="7132170F" w14:textId="77777777" w:rsidR="00637C88" w:rsidRDefault="00637C88" w:rsidP="00637C88">
            <w:pPr>
              <w:pStyle w:val="NoSpacing"/>
            </w:pPr>
            <w:r>
              <w:rPr>
                <w:u w:val="single"/>
              </w:rPr>
              <w:t>6 Month Period</w:t>
            </w:r>
            <w:r>
              <w:t xml:space="preserve">: </w:t>
            </w:r>
          </w:p>
          <w:p w14:paraId="29AB94E2" w14:textId="77777777" w:rsidR="00637C88" w:rsidRDefault="00637C88" w:rsidP="00637C88">
            <w:pPr>
              <w:pStyle w:val="NoSpacing"/>
              <w:numPr>
                <w:ilvl w:val="0"/>
                <w:numId w:val="15"/>
              </w:numPr>
              <w:ind w:left="504"/>
            </w:pPr>
            <w:r>
              <w:t>04/01/14 – 09/30/14, or</w:t>
            </w:r>
          </w:p>
          <w:p w14:paraId="367B7473" w14:textId="77777777" w:rsidR="00637C88" w:rsidRDefault="00637C88" w:rsidP="00637C88">
            <w:pPr>
              <w:pStyle w:val="NoSpacing"/>
              <w:numPr>
                <w:ilvl w:val="0"/>
                <w:numId w:val="15"/>
              </w:numPr>
              <w:ind w:left="504"/>
            </w:pPr>
            <w:r>
              <w:t>03/01/13 – 08/31/14, or</w:t>
            </w:r>
          </w:p>
          <w:p w14:paraId="392F2B28" w14:textId="77777777" w:rsidR="00637C88" w:rsidRDefault="00637C88" w:rsidP="00637C88">
            <w:pPr>
              <w:pStyle w:val="NoSpacing"/>
              <w:numPr>
                <w:ilvl w:val="0"/>
                <w:numId w:val="15"/>
              </w:numPr>
              <w:ind w:left="504"/>
            </w:pPr>
            <w:r>
              <w:t>01/01/13 – 06/30/13, or</w:t>
            </w:r>
          </w:p>
          <w:p w14:paraId="61976D07" w14:textId="77777777" w:rsidR="00637C88" w:rsidRDefault="00637C88" w:rsidP="00637C88">
            <w:pPr>
              <w:pStyle w:val="NoSpacing"/>
              <w:numPr>
                <w:ilvl w:val="0"/>
                <w:numId w:val="15"/>
              </w:numPr>
              <w:ind w:left="504"/>
            </w:pPr>
            <w:r>
              <w:t>07/01/13 – 12/31/13</w:t>
            </w:r>
          </w:p>
          <w:p w14:paraId="3EA45B2E" w14:textId="7C0B4626" w:rsidR="00F05C01" w:rsidRDefault="00637C88" w:rsidP="00886E0E">
            <w:pPr>
              <w:pStyle w:val="NoSpacing"/>
            </w:pPr>
            <w:r>
              <w:rPr>
                <w:u w:val="single"/>
              </w:rPr>
              <w:t>Other</w:t>
            </w:r>
            <w:r>
              <w:t>: Providers specify/propose an alternative 6 or 12 month time period to be reviewed and approved by HHSC.</w:t>
            </w:r>
            <w:bookmarkStart w:id="0" w:name="_GoBack"/>
            <w:bookmarkEnd w:id="0"/>
          </w:p>
        </w:tc>
        <w:tc>
          <w:tcPr>
            <w:tcW w:w="2286" w:type="dxa"/>
          </w:tcPr>
          <w:p w14:paraId="3EA45B2F"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3EA45B30"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3EA45B31"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286" w:type="dxa"/>
          </w:tcPr>
          <w:p w14:paraId="3EA45B32" w14:textId="77777777" w:rsidR="00743628" w:rsidRDefault="00743628" w:rsidP="00743628">
            <w:pPr>
              <w:pStyle w:val="NoSpacing"/>
              <w:rPr>
                <w:b/>
              </w:rPr>
            </w:pPr>
            <w:r>
              <w:rPr>
                <w:b/>
              </w:rPr>
              <w:t>Providers must report data across a 12-month time period that meets the following parameters:</w:t>
            </w:r>
          </w:p>
          <w:p w14:paraId="3EA45B33"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3EA45B34"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3EA45B3C" w14:textId="77777777" w:rsidTr="00A374B8">
        <w:tc>
          <w:tcPr>
            <w:tcW w:w="2718" w:type="dxa"/>
          </w:tcPr>
          <w:p w14:paraId="3EA45B36" w14:textId="77777777" w:rsidR="00AD706B" w:rsidRDefault="00AD706B" w:rsidP="00A374B8">
            <w:pPr>
              <w:pStyle w:val="NoSpacing"/>
              <w:rPr>
                <w:b/>
              </w:rPr>
            </w:pPr>
            <w:r>
              <w:rPr>
                <w:b/>
              </w:rPr>
              <w:t>Reporting Opportunities to HHSC</w:t>
            </w:r>
          </w:p>
        </w:tc>
        <w:tc>
          <w:tcPr>
            <w:tcW w:w="2286" w:type="dxa"/>
          </w:tcPr>
          <w:p w14:paraId="3EA45B37" w14:textId="77777777" w:rsidR="00AD706B" w:rsidRDefault="00AD706B" w:rsidP="00A374B8">
            <w:pPr>
              <w:pStyle w:val="NoSpacing"/>
              <w:jc w:val="center"/>
            </w:pPr>
            <w:r w:rsidRPr="00135F3A">
              <w:t>10</w:t>
            </w:r>
            <w:r>
              <w:t>/31/2014</w:t>
            </w:r>
          </w:p>
        </w:tc>
        <w:tc>
          <w:tcPr>
            <w:tcW w:w="2286" w:type="dxa"/>
          </w:tcPr>
          <w:p w14:paraId="3EA45B38" w14:textId="77777777" w:rsidR="00AD706B" w:rsidRPr="00135F3A" w:rsidRDefault="00AD706B" w:rsidP="00A374B8">
            <w:pPr>
              <w:pStyle w:val="NoSpacing"/>
              <w:jc w:val="center"/>
            </w:pPr>
            <w:r w:rsidRPr="00135F3A">
              <w:t>4/30/2015</w:t>
            </w:r>
          </w:p>
          <w:p w14:paraId="3EA45B39" w14:textId="77777777" w:rsidR="00AD706B" w:rsidRPr="00AC6074" w:rsidRDefault="00AD706B" w:rsidP="00A374B8">
            <w:pPr>
              <w:pStyle w:val="NoSpacing"/>
              <w:jc w:val="center"/>
              <w:rPr>
                <w:b/>
              </w:rPr>
            </w:pPr>
            <w:r w:rsidRPr="00135F3A">
              <w:t>10/31/2015</w:t>
            </w:r>
          </w:p>
        </w:tc>
        <w:tc>
          <w:tcPr>
            <w:tcW w:w="2286" w:type="dxa"/>
          </w:tcPr>
          <w:p w14:paraId="3EA45B3A" w14:textId="77777777" w:rsidR="00AD706B" w:rsidRPr="00135F3A" w:rsidRDefault="00AD706B" w:rsidP="00A374B8">
            <w:pPr>
              <w:pStyle w:val="NoSpacing"/>
              <w:jc w:val="center"/>
            </w:pPr>
            <w:r w:rsidRPr="00135F3A">
              <w:t>4/30/2016</w:t>
            </w:r>
          </w:p>
          <w:p w14:paraId="3EA45B3B" w14:textId="77777777" w:rsidR="00AD706B" w:rsidRDefault="00AD706B" w:rsidP="00A374B8">
            <w:pPr>
              <w:pStyle w:val="NoSpacing"/>
              <w:jc w:val="center"/>
              <w:rPr>
                <w:b/>
              </w:rPr>
            </w:pPr>
            <w:r w:rsidRPr="00135F3A">
              <w:t>10/31/2016</w:t>
            </w:r>
          </w:p>
        </w:tc>
      </w:tr>
    </w:tbl>
    <w:p w14:paraId="3EA45B65" w14:textId="77777777" w:rsidR="00356CF4" w:rsidRPr="008F249E" w:rsidRDefault="00356CF4" w:rsidP="00E72F21">
      <w:pPr>
        <w:pStyle w:val="Heading2"/>
      </w:pPr>
    </w:p>
    <w:sectPr w:rsidR="00356CF4" w:rsidRPr="008F249E" w:rsidSect="00E3456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45B6C" w14:textId="77777777" w:rsidR="00C004F7" w:rsidRDefault="00C004F7" w:rsidP="00F63191">
      <w:pPr>
        <w:spacing w:after="0" w:line="240" w:lineRule="auto"/>
      </w:pPr>
      <w:r>
        <w:separator/>
      </w:r>
    </w:p>
  </w:endnote>
  <w:endnote w:type="continuationSeparator" w:id="0">
    <w:p w14:paraId="3EA45B6D" w14:textId="77777777" w:rsidR="00C004F7" w:rsidRDefault="00C004F7"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3EA45B6F" w14:textId="77777777" w:rsidR="002E14AF" w:rsidRDefault="008216A0">
        <w:pPr>
          <w:pStyle w:val="Footer"/>
          <w:jc w:val="right"/>
        </w:pPr>
        <w:r>
          <w:fldChar w:fldCharType="begin"/>
        </w:r>
        <w:r w:rsidR="002E14AF">
          <w:instrText xml:space="preserve"> PAGE   \* MERGEFORMAT </w:instrText>
        </w:r>
        <w:r>
          <w:fldChar w:fldCharType="separate"/>
        </w:r>
        <w:r w:rsidR="00E033F3">
          <w:rPr>
            <w:noProof/>
          </w:rPr>
          <w:t>1</w:t>
        </w:r>
        <w:r>
          <w:rPr>
            <w:noProof/>
          </w:rPr>
          <w:fldChar w:fldCharType="end"/>
        </w:r>
      </w:p>
    </w:sdtContent>
  </w:sdt>
  <w:p w14:paraId="3EA45B70"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45B6A" w14:textId="77777777" w:rsidR="00C004F7" w:rsidRDefault="00C004F7" w:rsidP="00F63191">
      <w:pPr>
        <w:spacing w:after="0" w:line="240" w:lineRule="auto"/>
      </w:pPr>
      <w:r>
        <w:separator/>
      </w:r>
    </w:p>
  </w:footnote>
  <w:footnote w:type="continuationSeparator" w:id="0">
    <w:p w14:paraId="3EA45B6B" w14:textId="77777777" w:rsidR="00C004F7" w:rsidRDefault="00C004F7"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5B6E" w14:textId="5AC95B9F"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BF3824"/>
    <w:multiLevelType w:val="hybridMultilevel"/>
    <w:tmpl w:val="19C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E5ABE"/>
    <w:multiLevelType w:val="hybridMultilevel"/>
    <w:tmpl w:val="D74E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05C80"/>
    <w:multiLevelType w:val="hybridMultilevel"/>
    <w:tmpl w:val="B8F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F7F11"/>
    <w:multiLevelType w:val="hybridMultilevel"/>
    <w:tmpl w:val="1FC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1"/>
  </w:num>
  <w:num w:numId="5">
    <w:abstractNumId w:val="2"/>
  </w:num>
  <w:num w:numId="6">
    <w:abstractNumId w:val="7"/>
  </w:num>
  <w:num w:numId="7">
    <w:abstractNumId w:val="13"/>
  </w:num>
  <w:num w:numId="8">
    <w:abstractNumId w:val="8"/>
  </w:num>
  <w:num w:numId="9">
    <w:abstractNumId w:val="10"/>
  </w:num>
  <w:num w:numId="10">
    <w:abstractNumId w:val="9"/>
  </w:num>
  <w:num w:numId="11">
    <w:abstractNumId w:val="5"/>
  </w:num>
  <w:num w:numId="12">
    <w:abstractNumId w:val="14"/>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31069"/>
    <w:rsid w:val="00055843"/>
    <w:rsid w:val="000C575F"/>
    <w:rsid w:val="000D1199"/>
    <w:rsid w:val="000D5A2D"/>
    <w:rsid w:val="000E7EED"/>
    <w:rsid w:val="00100A2F"/>
    <w:rsid w:val="00107C1A"/>
    <w:rsid w:val="0011709A"/>
    <w:rsid w:val="001448E7"/>
    <w:rsid w:val="00165D76"/>
    <w:rsid w:val="001D6BEA"/>
    <w:rsid w:val="002224F0"/>
    <w:rsid w:val="00245754"/>
    <w:rsid w:val="00271E53"/>
    <w:rsid w:val="002845C2"/>
    <w:rsid w:val="002D1843"/>
    <w:rsid w:val="002E14AF"/>
    <w:rsid w:val="0032246B"/>
    <w:rsid w:val="003438C3"/>
    <w:rsid w:val="00346B8D"/>
    <w:rsid w:val="00356CF4"/>
    <w:rsid w:val="00366D0B"/>
    <w:rsid w:val="00375652"/>
    <w:rsid w:val="00383516"/>
    <w:rsid w:val="003844DB"/>
    <w:rsid w:val="003A409E"/>
    <w:rsid w:val="003F4E8D"/>
    <w:rsid w:val="00416E44"/>
    <w:rsid w:val="00502BE4"/>
    <w:rsid w:val="00506BC5"/>
    <w:rsid w:val="00536799"/>
    <w:rsid w:val="0054662A"/>
    <w:rsid w:val="00561D6D"/>
    <w:rsid w:val="00567B0E"/>
    <w:rsid w:val="005802A0"/>
    <w:rsid w:val="005857E6"/>
    <w:rsid w:val="005B79DD"/>
    <w:rsid w:val="005C70A1"/>
    <w:rsid w:val="005D0DD4"/>
    <w:rsid w:val="005F4D43"/>
    <w:rsid w:val="00637C88"/>
    <w:rsid w:val="00647794"/>
    <w:rsid w:val="00651532"/>
    <w:rsid w:val="007131A3"/>
    <w:rsid w:val="00713FD3"/>
    <w:rsid w:val="007164C7"/>
    <w:rsid w:val="00743628"/>
    <w:rsid w:val="007532B0"/>
    <w:rsid w:val="00760D27"/>
    <w:rsid w:val="00787D45"/>
    <w:rsid w:val="007C43F7"/>
    <w:rsid w:val="007C728B"/>
    <w:rsid w:val="007C7C85"/>
    <w:rsid w:val="007E0395"/>
    <w:rsid w:val="007F675B"/>
    <w:rsid w:val="007F7C07"/>
    <w:rsid w:val="008216A0"/>
    <w:rsid w:val="00823868"/>
    <w:rsid w:val="00827557"/>
    <w:rsid w:val="00861788"/>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B1999"/>
    <w:rsid w:val="00AB2DF6"/>
    <w:rsid w:val="00AC3A97"/>
    <w:rsid w:val="00AD706B"/>
    <w:rsid w:val="00AE01E9"/>
    <w:rsid w:val="00AF3A3D"/>
    <w:rsid w:val="00B05CBF"/>
    <w:rsid w:val="00B20462"/>
    <w:rsid w:val="00B546CF"/>
    <w:rsid w:val="00B65D92"/>
    <w:rsid w:val="00B7257A"/>
    <w:rsid w:val="00BA61F1"/>
    <w:rsid w:val="00BC4643"/>
    <w:rsid w:val="00C004F7"/>
    <w:rsid w:val="00C01E6F"/>
    <w:rsid w:val="00C6730A"/>
    <w:rsid w:val="00C86C48"/>
    <w:rsid w:val="00C95D37"/>
    <w:rsid w:val="00C9758A"/>
    <w:rsid w:val="00CA2D3E"/>
    <w:rsid w:val="00CA4C08"/>
    <w:rsid w:val="00CC28BC"/>
    <w:rsid w:val="00CD7069"/>
    <w:rsid w:val="00D1777E"/>
    <w:rsid w:val="00D61CC6"/>
    <w:rsid w:val="00D63831"/>
    <w:rsid w:val="00D63CD3"/>
    <w:rsid w:val="00DB7651"/>
    <w:rsid w:val="00DE660A"/>
    <w:rsid w:val="00E033F3"/>
    <w:rsid w:val="00E3456D"/>
    <w:rsid w:val="00E43145"/>
    <w:rsid w:val="00E72F21"/>
    <w:rsid w:val="00EB6678"/>
    <w:rsid w:val="00EB7647"/>
    <w:rsid w:val="00EF333D"/>
    <w:rsid w:val="00F05C01"/>
    <w:rsid w:val="00F069C3"/>
    <w:rsid w:val="00F06C5E"/>
    <w:rsid w:val="00F12770"/>
    <w:rsid w:val="00F20443"/>
    <w:rsid w:val="00F32A26"/>
    <w:rsid w:val="00F63191"/>
    <w:rsid w:val="00F64CD1"/>
    <w:rsid w:val="00F81588"/>
    <w:rsid w:val="00F9250E"/>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61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61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568152299">
      <w:bodyDiv w:val="1"/>
      <w:marLeft w:val="0"/>
      <w:marRight w:val="0"/>
      <w:marTop w:val="0"/>
      <w:marBottom w:val="0"/>
      <w:divBdr>
        <w:top w:val="none" w:sz="0" w:space="0" w:color="auto"/>
        <w:left w:val="none" w:sz="0" w:space="0" w:color="auto"/>
        <w:bottom w:val="none" w:sz="0" w:space="0" w:color="auto"/>
        <w:right w:val="none" w:sz="0" w:space="0" w:color="auto"/>
      </w:divBdr>
    </w:div>
    <w:div w:id="834297708">
      <w:bodyDiv w:val="1"/>
      <w:marLeft w:val="0"/>
      <w:marRight w:val="0"/>
      <w:marTop w:val="0"/>
      <w:marBottom w:val="0"/>
      <w:divBdr>
        <w:top w:val="none" w:sz="0" w:space="0" w:color="auto"/>
        <w:left w:val="none" w:sz="0" w:space="0" w:color="auto"/>
        <w:bottom w:val="none" w:sz="0" w:space="0" w:color="auto"/>
        <w:right w:val="none" w:sz="0" w:space="0" w:color="auto"/>
      </w:divBdr>
    </w:div>
    <w:div w:id="1380516623">
      <w:bodyDiv w:val="1"/>
      <w:marLeft w:val="0"/>
      <w:marRight w:val="0"/>
      <w:marTop w:val="0"/>
      <w:marBottom w:val="0"/>
      <w:divBdr>
        <w:top w:val="none" w:sz="0" w:space="0" w:color="auto"/>
        <w:left w:val="none" w:sz="0" w:space="0" w:color="auto"/>
        <w:bottom w:val="none" w:sz="0" w:space="0" w:color="auto"/>
        <w:right w:val="none" w:sz="0" w:space="0" w:color="auto"/>
      </w:divBdr>
      <w:divsChild>
        <w:div w:id="1153064705">
          <w:marLeft w:val="0"/>
          <w:marRight w:val="0"/>
          <w:marTop w:val="0"/>
          <w:marBottom w:val="0"/>
          <w:divBdr>
            <w:top w:val="none" w:sz="0" w:space="0" w:color="auto"/>
            <w:left w:val="none" w:sz="0" w:space="0" w:color="auto"/>
            <w:bottom w:val="none" w:sz="0" w:space="0" w:color="auto"/>
            <w:right w:val="none" w:sz="0" w:space="0" w:color="auto"/>
          </w:divBdr>
          <w:divsChild>
            <w:div w:id="1717656964">
              <w:marLeft w:val="0"/>
              <w:marRight w:val="0"/>
              <w:marTop w:val="0"/>
              <w:marBottom w:val="0"/>
              <w:divBdr>
                <w:top w:val="none" w:sz="0" w:space="0" w:color="auto"/>
                <w:left w:val="none" w:sz="0" w:space="0" w:color="auto"/>
                <w:bottom w:val="none" w:sz="0" w:space="0" w:color="auto"/>
                <w:right w:val="none" w:sz="0" w:space="0" w:color="auto"/>
              </w:divBdr>
              <w:divsChild>
                <w:div w:id="1067462395">
                  <w:marLeft w:val="0"/>
                  <w:marRight w:val="0"/>
                  <w:marTop w:val="0"/>
                  <w:marBottom w:val="0"/>
                  <w:divBdr>
                    <w:top w:val="single" w:sz="8" w:space="0" w:color="666699"/>
                    <w:left w:val="single" w:sz="8" w:space="0" w:color="666699"/>
                    <w:bottom w:val="single" w:sz="8" w:space="0" w:color="666699"/>
                    <w:right w:val="single" w:sz="8" w:space="0" w:color="666699"/>
                  </w:divBdr>
                  <w:divsChild>
                    <w:div w:id="1791506047">
                      <w:marLeft w:val="0"/>
                      <w:marRight w:val="0"/>
                      <w:marTop w:val="0"/>
                      <w:marBottom w:val="0"/>
                      <w:divBdr>
                        <w:top w:val="none" w:sz="0" w:space="0" w:color="auto"/>
                        <w:left w:val="none" w:sz="0" w:space="0" w:color="auto"/>
                        <w:bottom w:val="none" w:sz="0" w:space="0" w:color="auto"/>
                        <w:right w:val="none" w:sz="0" w:space="0" w:color="auto"/>
                      </w:divBdr>
                      <w:divsChild>
                        <w:div w:id="948506785">
                          <w:marLeft w:val="2712"/>
                          <w:marRight w:val="187"/>
                          <w:marTop w:val="0"/>
                          <w:marBottom w:val="0"/>
                          <w:divBdr>
                            <w:top w:val="single" w:sz="8" w:space="0" w:color="000066"/>
                            <w:left w:val="single" w:sz="8" w:space="0" w:color="000066"/>
                            <w:bottom w:val="single" w:sz="8" w:space="0" w:color="000066"/>
                            <w:right w:val="single" w:sz="8" w:space="0" w:color="000066"/>
                          </w:divBdr>
                          <w:divsChild>
                            <w:div w:id="297299003">
                              <w:marLeft w:val="187"/>
                              <w:marRight w:val="187"/>
                              <w:marTop w:val="187"/>
                              <w:marBottom w:val="187"/>
                              <w:divBdr>
                                <w:top w:val="none" w:sz="0" w:space="0" w:color="auto"/>
                                <w:left w:val="none" w:sz="0" w:space="0" w:color="auto"/>
                                <w:bottom w:val="none" w:sz="0" w:space="0" w:color="auto"/>
                                <w:right w:val="none" w:sz="0" w:space="0" w:color="auto"/>
                              </w:divBdr>
                              <w:divsChild>
                                <w:div w:id="2044940701">
                                  <w:marLeft w:val="0"/>
                                  <w:marRight w:val="0"/>
                                  <w:marTop w:val="0"/>
                                  <w:marBottom w:val="0"/>
                                  <w:divBdr>
                                    <w:top w:val="none" w:sz="0" w:space="0" w:color="auto"/>
                                    <w:left w:val="none" w:sz="0" w:space="0" w:color="auto"/>
                                    <w:bottom w:val="none" w:sz="0" w:space="0" w:color="auto"/>
                                    <w:right w:val="none" w:sz="0" w:space="0" w:color="auto"/>
                                  </w:divBdr>
                                  <w:divsChild>
                                    <w:div w:id="1392846263">
                                      <w:marLeft w:val="0"/>
                                      <w:marRight w:val="0"/>
                                      <w:marTop w:val="0"/>
                                      <w:marBottom w:val="0"/>
                                      <w:divBdr>
                                        <w:top w:val="none" w:sz="0" w:space="0" w:color="auto"/>
                                        <w:left w:val="none" w:sz="0" w:space="0" w:color="auto"/>
                                        <w:bottom w:val="none" w:sz="0" w:space="0" w:color="auto"/>
                                        <w:right w:val="none" w:sz="0" w:space="0" w:color="auto"/>
                                      </w:divBdr>
                                      <w:divsChild>
                                        <w:div w:id="305625409">
                                          <w:marLeft w:val="0"/>
                                          <w:marRight w:val="0"/>
                                          <w:marTop w:val="187"/>
                                          <w:marBottom w:val="94"/>
                                          <w:divBdr>
                                            <w:top w:val="none" w:sz="0" w:space="0" w:color="auto"/>
                                            <w:left w:val="none" w:sz="0" w:space="0" w:color="auto"/>
                                            <w:bottom w:val="none" w:sz="0" w:space="0" w:color="auto"/>
                                            <w:right w:val="none" w:sz="0" w:space="0" w:color="auto"/>
                                          </w:divBdr>
                                          <w:divsChild>
                                            <w:div w:id="14865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886935">
      <w:bodyDiv w:val="1"/>
      <w:marLeft w:val="0"/>
      <w:marRight w:val="0"/>
      <w:marTop w:val="0"/>
      <w:marBottom w:val="0"/>
      <w:divBdr>
        <w:top w:val="none" w:sz="0" w:space="0" w:color="auto"/>
        <w:left w:val="none" w:sz="0" w:space="0" w:color="auto"/>
        <w:bottom w:val="none" w:sz="0" w:space="0" w:color="auto"/>
        <w:right w:val="none" w:sz="0" w:space="0" w:color="auto"/>
      </w:divBdr>
    </w:div>
    <w:div w:id="1822038343">
      <w:bodyDiv w:val="1"/>
      <w:marLeft w:val="0"/>
      <w:marRight w:val="0"/>
      <w:marTop w:val="0"/>
      <w:marBottom w:val="0"/>
      <w:divBdr>
        <w:top w:val="none" w:sz="0" w:space="0" w:color="auto"/>
        <w:left w:val="none" w:sz="0" w:space="0" w:color="auto"/>
        <w:bottom w:val="none" w:sz="0" w:space="0" w:color="auto"/>
        <w:right w:val="none" w:sz="0" w:space="0" w:color="auto"/>
      </w:divBdr>
      <w:divsChild>
        <w:div w:id="307632896">
          <w:marLeft w:val="0"/>
          <w:marRight w:val="0"/>
          <w:marTop w:val="0"/>
          <w:marBottom w:val="0"/>
          <w:divBdr>
            <w:top w:val="none" w:sz="0" w:space="0" w:color="auto"/>
            <w:left w:val="none" w:sz="0" w:space="0" w:color="auto"/>
            <w:bottom w:val="none" w:sz="0" w:space="0" w:color="auto"/>
            <w:right w:val="none" w:sz="0" w:space="0" w:color="auto"/>
          </w:divBdr>
          <w:divsChild>
            <w:div w:id="605771486">
              <w:marLeft w:val="0"/>
              <w:marRight w:val="0"/>
              <w:marTop w:val="0"/>
              <w:marBottom w:val="0"/>
              <w:divBdr>
                <w:top w:val="none" w:sz="0" w:space="0" w:color="auto"/>
                <w:left w:val="none" w:sz="0" w:space="0" w:color="auto"/>
                <w:bottom w:val="none" w:sz="0" w:space="0" w:color="auto"/>
                <w:right w:val="none" w:sz="0" w:space="0" w:color="auto"/>
              </w:divBdr>
              <w:divsChild>
                <w:div w:id="462650161">
                  <w:marLeft w:val="0"/>
                  <w:marRight w:val="0"/>
                  <w:marTop w:val="0"/>
                  <w:marBottom w:val="0"/>
                  <w:divBdr>
                    <w:top w:val="single" w:sz="8" w:space="0" w:color="666699"/>
                    <w:left w:val="single" w:sz="8" w:space="0" w:color="666699"/>
                    <w:bottom w:val="single" w:sz="8" w:space="0" w:color="666699"/>
                    <w:right w:val="single" w:sz="8" w:space="0" w:color="666699"/>
                  </w:divBdr>
                  <w:divsChild>
                    <w:div w:id="1109276843">
                      <w:marLeft w:val="0"/>
                      <w:marRight w:val="0"/>
                      <w:marTop w:val="0"/>
                      <w:marBottom w:val="0"/>
                      <w:divBdr>
                        <w:top w:val="none" w:sz="0" w:space="0" w:color="auto"/>
                        <w:left w:val="none" w:sz="0" w:space="0" w:color="auto"/>
                        <w:bottom w:val="none" w:sz="0" w:space="0" w:color="auto"/>
                        <w:right w:val="none" w:sz="0" w:space="0" w:color="auto"/>
                      </w:divBdr>
                      <w:divsChild>
                        <w:div w:id="188572490">
                          <w:marLeft w:val="2712"/>
                          <w:marRight w:val="187"/>
                          <w:marTop w:val="0"/>
                          <w:marBottom w:val="0"/>
                          <w:divBdr>
                            <w:top w:val="single" w:sz="8" w:space="0" w:color="000066"/>
                            <w:left w:val="single" w:sz="8" w:space="0" w:color="000066"/>
                            <w:bottom w:val="single" w:sz="8" w:space="0" w:color="000066"/>
                            <w:right w:val="single" w:sz="8" w:space="0" w:color="000066"/>
                          </w:divBdr>
                          <w:divsChild>
                            <w:div w:id="2022705383">
                              <w:marLeft w:val="187"/>
                              <w:marRight w:val="187"/>
                              <w:marTop w:val="187"/>
                              <w:marBottom w:val="187"/>
                              <w:divBdr>
                                <w:top w:val="none" w:sz="0" w:space="0" w:color="auto"/>
                                <w:left w:val="none" w:sz="0" w:space="0" w:color="auto"/>
                                <w:bottom w:val="none" w:sz="0" w:space="0" w:color="auto"/>
                                <w:right w:val="none" w:sz="0" w:space="0" w:color="auto"/>
                              </w:divBdr>
                              <w:divsChild>
                                <w:div w:id="1087120943">
                                  <w:marLeft w:val="0"/>
                                  <w:marRight w:val="0"/>
                                  <w:marTop w:val="0"/>
                                  <w:marBottom w:val="0"/>
                                  <w:divBdr>
                                    <w:top w:val="none" w:sz="0" w:space="0" w:color="auto"/>
                                    <w:left w:val="none" w:sz="0" w:space="0" w:color="auto"/>
                                    <w:bottom w:val="none" w:sz="0" w:space="0" w:color="auto"/>
                                    <w:right w:val="none" w:sz="0" w:space="0" w:color="auto"/>
                                  </w:divBdr>
                                  <w:divsChild>
                                    <w:div w:id="1612319566">
                                      <w:marLeft w:val="0"/>
                                      <w:marRight w:val="0"/>
                                      <w:marTop w:val="0"/>
                                      <w:marBottom w:val="0"/>
                                      <w:divBdr>
                                        <w:top w:val="none" w:sz="0" w:space="0" w:color="auto"/>
                                        <w:left w:val="none" w:sz="0" w:space="0" w:color="auto"/>
                                        <w:bottom w:val="none" w:sz="0" w:space="0" w:color="auto"/>
                                        <w:right w:val="none" w:sz="0" w:space="0" w:color="auto"/>
                                      </w:divBdr>
                                      <w:divsChild>
                                        <w:div w:id="2018119703">
                                          <w:marLeft w:val="0"/>
                                          <w:marRight w:val="0"/>
                                          <w:marTop w:val="187"/>
                                          <w:marBottom w:val="94"/>
                                          <w:divBdr>
                                            <w:top w:val="none" w:sz="0" w:space="0" w:color="auto"/>
                                            <w:left w:val="none" w:sz="0" w:space="0" w:color="auto"/>
                                            <w:bottom w:val="none" w:sz="0" w:space="0" w:color="auto"/>
                                            <w:right w:val="none" w:sz="0" w:space="0" w:color="auto"/>
                                          </w:divBdr>
                                          <w:divsChild>
                                            <w:div w:id="1062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content.aspx?id=328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BF494241-FEC3-4670-AA2A-90B52CA1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2014-03-03T04:22:00Z</dcterms:created>
  <dcterms:modified xsi:type="dcterms:W3CDTF">2014-03-03T04:22:00Z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