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D73B2" w14:textId="28516CDC" w:rsidR="00AD706B" w:rsidRDefault="00AD706B" w:rsidP="00AD706B">
      <w:pPr>
        <w:pStyle w:val="Heading1"/>
      </w:pPr>
      <w:r>
        <w:t>IT-</w:t>
      </w:r>
      <w:r w:rsidR="00E9274D">
        <w:t>12.2</w:t>
      </w:r>
      <w:r>
        <w:t xml:space="preserve">:  </w:t>
      </w:r>
      <w:r w:rsidR="00E9274D" w:rsidRPr="00E9274D">
        <w:t>Cervical Cancer Screening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6858"/>
      </w:tblGrid>
      <w:tr w:rsidR="00AD706B" w14:paraId="780D73B5" w14:textId="77777777" w:rsidTr="00AE3E40">
        <w:trPr>
          <w:tblHeader/>
        </w:trPr>
        <w:tc>
          <w:tcPr>
            <w:tcW w:w="2718" w:type="dxa"/>
            <w:shd w:val="clear" w:color="auto" w:fill="F2F2F2" w:themeFill="background1" w:themeFillShade="F2"/>
          </w:tcPr>
          <w:p w14:paraId="780D73B3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780D73B4" w14:textId="6FC81953" w:rsidR="00AD706B" w:rsidRPr="008779F5" w:rsidRDefault="00C83287" w:rsidP="00B05CB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IT-12.2 </w:t>
            </w:r>
            <w:r w:rsidR="00E9274D" w:rsidRPr="00E9274D">
              <w:rPr>
                <w:b/>
              </w:rPr>
              <w:t>Cervical Cancer Screening (CCS)</w:t>
            </w:r>
          </w:p>
        </w:tc>
      </w:tr>
      <w:tr w:rsidR="00AD706B" w14:paraId="780D73B8" w14:textId="77777777" w:rsidTr="00AE3E40">
        <w:tc>
          <w:tcPr>
            <w:tcW w:w="2718" w:type="dxa"/>
          </w:tcPr>
          <w:p w14:paraId="780D73B6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6858" w:type="dxa"/>
          </w:tcPr>
          <w:p w14:paraId="518A072F" w14:textId="77777777" w:rsidR="00E9274D" w:rsidRDefault="00E9274D" w:rsidP="00E9274D">
            <w:pPr>
              <w:pStyle w:val="NoSpacing"/>
            </w:pPr>
            <w:r>
              <w:t>Percentage of women 21–64 years of age who were screened for cervical cancer using either of the following criteria:</w:t>
            </w:r>
          </w:p>
          <w:p w14:paraId="5B900B49" w14:textId="77777777" w:rsidR="00E9274D" w:rsidRDefault="00E9274D" w:rsidP="00E9274D">
            <w:pPr>
              <w:pStyle w:val="NoSpacing"/>
              <w:numPr>
                <w:ilvl w:val="0"/>
                <w:numId w:val="14"/>
              </w:numPr>
            </w:pPr>
            <w:r>
              <w:t>Women age 21–64 who had cervical cytology performed every 3 years.</w:t>
            </w:r>
          </w:p>
          <w:p w14:paraId="780D73B7" w14:textId="400DE78E" w:rsidR="00AD706B" w:rsidRDefault="00E9274D" w:rsidP="00E9274D">
            <w:pPr>
              <w:pStyle w:val="NoSpacing"/>
              <w:numPr>
                <w:ilvl w:val="0"/>
                <w:numId w:val="14"/>
              </w:numPr>
            </w:pPr>
            <w:r>
              <w:t>Women age 30–64 who had cervical cytology/human papillomavirus (HPV) co-testing performed every 5 years.</w:t>
            </w:r>
          </w:p>
        </w:tc>
      </w:tr>
      <w:tr w:rsidR="00AD706B" w14:paraId="780D73BB" w14:textId="77777777" w:rsidTr="00AE3E40">
        <w:tc>
          <w:tcPr>
            <w:tcW w:w="2718" w:type="dxa"/>
          </w:tcPr>
          <w:p w14:paraId="780D73B9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6858" w:type="dxa"/>
          </w:tcPr>
          <w:p w14:paraId="780D73BA" w14:textId="53B84C1C" w:rsidR="00AD706B" w:rsidRDefault="00E9274D" w:rsidP="00B05CBF">
            <w:pPr>
              <w:pStyle w:val="NoSpacing"/>
            </w:pPr>
            <w:r>
              <w:t>0032</w:t>
            </w:r>
          </w:p>
        </w:tc>
      </w:tr>
      <w:tr w:rsidR="00AD706B" w14:paraId="780D73BE" w14:textId="77777777" w:rsidTr="00AE3E40">
        <w:tc>
          <w:tcPr>
            <w:tcW w:w="2718" w:type="dxa"/>
          </w:tcPr>
          <w:p w14:paraId="780D73BC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Steward</w:t>
            </w:r>
          </w:p>
        </w:tc>
        <w:tc>
          <w:tcPr>
            <w:tcW w:w="6858" w:type="dxa"/>
          </w:tcPr>
          <w:p w14:paraId="780D73BD" w14:textId="27BB77C6" w:rsidR="00AD706B" w:rsidRPr="00631E85" w:rsidRDefault="00E9274D" w:rsidP="00A374B8">
            <w:pPr>
              <w:pStyle w:val="NoSpacing"/>
            </w:pPr>
            <w:r w:rsidRPr="00E9274D">
              <w:t>National Committee for Quality Assurance</w:t>
            </w:r>
          </w:p>
        </w:tc>
      </w:tr>
      <w:tr w:rsidR="00AD706B" w14:paraId="780D73C1" w14:textId="77777777" w:rsidTr="00AE3E40">
        <w:tc>
          <w:tcPr>
            <w:tcW w:w="2718" w:type="dxa"/>
          </w:tcPr>
          <w:p w14:paraId="780D73BF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Link to measure citation</w:t>
            </w:r>
          </w:p>
        </w:tc>
        <w:tc>
          <w:tcPr>
            <w:tcW w:w="6858" w:type="dxa"/>
          </w:tcPr>
          <w:p w14:paraId="7087A539" w14:textId="34FDB755" w:rsidR="00AD706B" w:rsidRDefault="0055690B" w:rsidP="00561D6D">
            <w:pPr>
              <w:pStyle w:val="NoSpacing"/>
            </w:pPr>
            <w:hyperlink r:id="rId12" w:history="1">
              <w:r w:rsidR="00ED7ECB" w:rsidRPr="00DA3F5C">
                <w:rPr>
                  <w:rStyle w:val="Hyperlink"/>
                </w:rPr>
                <w:t>https://www.qualityforum.org/QPS/0032</w:t>
              </w:r>
            </w:hyperlink>
          </w:p>
          <w:p w14:paraId="78305247" w14:textId="40D6A8C5" w:rsidR="00ED7ECB" w:rsidRDefault="007B7BB7" w:rsidP="00561D6D">
            <w:pPr>
              <w:pStyle w:val="NoSpacing"/>
            </w:pPr>
            <w:r w:rsidRPr="007B7BB7">
              <w:t>http://www.qualitymeasures.ahrq.gov/content.aspx?id=47141</w:t>
            </w:r>
            <w:r w:rsidR="00DE11DC">
              <w:t xml:space="preserve"> </w:t>
            </w:r>
          </w:p>
          <w:p w14:paraId="70D175B6" w14:textId="77777777" w:rsidR="00AE3E40" w:rsidRDefault="00AE3E40" w:rsidP="00561D6D">
            <w:pPr>
              <w:pStyle w:val="NoSpacing"/>
            </w:pPr>
          </w:p>
          <w:p w14:paraId="42C949A5" w14:textId="77777777" w:rsidR="00AE3E40" w:rsidRDefault="00AE3E40" w:rsidP="00561D6D">
            <w:pPr>
              <w:pStyle w:val="NoSpacing"/>
            </w:pPr>
            <w:r>
              <w:t>National Committee for Quality Assurance specifications:</w:t>
            </w:r>
          </w:p>
          <w:p w14:paraId="780D73C0" w14:textId="526D9E2A" w:rsidR="00AE3E40" w:rsidRPr="00631E85" w:rsidRDefault="00AE3E40" w:rsidP="00561D6D">
            <w:pPr>
              <w:pStyle w:val="NoSpacing"/>
            </w:pPr>
            <w:r>
              <w:t>(</w:t>
            </w:r>
            <w:hyperlink r:id="rId13" w:history="1">
              <w:r w:rsidRPr="00A31C8D">
                <w:rPr>
                  <w:rStyle w:val="Hyperlink"/>
                </w:rPr>
                <w:t>http://www.ncqa.org/LinkClick.aspx?fileticket=POLoMIAi3Mo%3d&amp;tabid=59&amp;mid=1604&amp;forcedownload=true</w:t>
              </w:r>
            </w:hyperlink>
            <w:r>
              <w:t>)</w:t>
            </w:r>
          </w:p>
        </w:tc>
      </w:tr>
      <w:tr w:rsidR="00AD706B" w14:paraId="780D73C4" w14:textId="77777777" w:rsidTr="00AE3E40">
        <w:tc>
          <w:tcPr>
            <w:tcW w:w="2718" w:type="dxa"/>
          </w:tcPr>
          <w:p w14:paraId="780D73C2" w14:textId="3F1B1D6D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6858" w:type="dxa"/>
          </w:tcPr>
          <w:p w14:paraId="780D73C3" w14:textId="4DD740D5" w:rsidR="00AD706B" w:rsidRDefault="00165D76" w:rsidP="00D127DE">
            <w:pPr>
              <w:pStyle w:val="NoSpacing"/>
            </w:pPr>
            <w:r>
              <w:t>Non Stand-A</w:t>
            </w:r>
            <w:r w:rsidR="00AD706B">
              <w:t>lone</w:t>
            </w:r>
            <w:r>
              <w:t xml:space="preserve"> (NSA</w:t>
            </w:r>
            <w:r w:rsidR="00D127DE">
              <w:t>)</w:t>
            </w:r>
          </w:p>
        </w:tc>
      </w:tr>
      <w:tr w:rsidR="007B7BB7" w14:paraId="780D73C7" w14:textId="77777777" w:rsidTr="00AE3E40">
        <w:tc>
          <w:tcPr>
            <w:tcW w:w="2718" w:type="dxa"/>
          </w:tcPr>
          <w:p w14:paraId="780D73C5" w14:textId="0615604B" w:rsidR="007B7BB7" w:rsidRDefault="007B7BB7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Performance and Achievement Type</w:t>
            </w:r>
          </w:p>
        </w:tc>
        <w:tc>
          <w:tcPr>
            <w:tcW w:w="6858" w:type="dxa"/>
          </w:tcPr>
          <w:p w14:paraId="48C2B28E" w14:textId="77777777" w:rsidR="007B7BB7" w:rsidRDefault="007B7BB7" w:rsidP="008635A2">
            <w:pPr>
              <w:pStyle w:val="NoSpacing"/>
            </w:pPr>
            <w:r>
              <w:t>Pay for Performance (P4P) - QSMIC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80"/>
              <w:gridCol w:w="1060"/>
              <w:gridCol w:w="1846"/>
              <w:gridCol w:w="1846"/>
            </w:tblGrid>
            <w:tr w:rsidR="007B7BB7" w14:paraId="402B7682" w14:textId="77777777" w:rsidTr="008635A2">
              <w:tc>
                <w:tcPr>
                  <w:tcW w:w="1880" w:type="dxa"/>
                </w:tcPr>
                <w:p w14:paraId="7048CBB9" w14:textId="77777777" w:rsidR="007B7BB7" w:rsidRPr="00791AAE" w:rsidRDefault="007B7BB7" w:rsidP="008635A2">
                  <w:pPr>
                    <w:pStyle w:val="NoSpacing"/>
                    <w:jc w:val="center"/>
                  </w:pPr>
                </w:p>
              </w:tc>
              <w:tc>
                <w:tcPr>
                  <w:tcW w:w="1060" w:type="dxa"/>
                </w:tcPr>
                <w:p w14:paraId="33BC65C1" w14:textId="77777777" w:rsidR="007B7BB7" w:rsidRPr="00791AAE" w:rsidRDefault="007B7BB7" w:rsidP="008635A2">
                  <w:pPr>
                    <w:pStyle w:val="NoSpacing"/>
                    <w:jc w:val="center"/>
                  </w:pPr>
                  <w:r>
                    <w:t>Baseline</w:t>
                  </w:r>
                </w:p>
              </w:tc>
              <w:tc>
                <w:tcPr>
                  <w:tcW w:w="1846" w:type="dxa"/>
                </w:tcPr>
                <w:p w14:paraId="5D986604" w14:textId="77777777" w:rsidR="007B7BB7" w:rsidRPr="00791AAE" w:rsidRDefault="007B7BB7" w:rsidP="008635A2">
                  <w:pPr>
                    <w:pStyle w:val="NoSpacing"/>
                    <w:jc w:val="center"/>
                  </w:pPr>
                  <w:r w:rsidRPr="00791AAE">
                    <w:t>DY4</w:t>
                  </w:r>
                </w:p>
                <w:p w14:paraId="3A8E9D8A" w14:textId="77777777" w:rsidR="007B7BB7" w:rsidRPr="00791AAE" w:rsidRDefault="007B7BB7" w:rsidP="008635A2">
                  <w:pPr>
                    <w:pStyle w:val="NoSpacing"/>
                    <w:jc w:val="center"/>
                  </w:pPr>
                </w:p>
              </w:tc>
              <w:tc>
                <w:tcPr>
                  <w:tcW w:w="1846" w:type="dxa"/>
                </w:tcPr>
                <w:p w14:paraId="0C3E9B2A" w14:textId="77777777" w:rsidR="007B7BB7" w:rsidRPr="00791AAE" w:rsidRDefault="007B7BB7" w:rsidP="008635A2">
                  <w:pPr>
                    <w:pStyle w:val="NoSpacing"/>
                    <w:jc w:val="center"/>
                  </w:pPr>
                  <w:r w:rsidRPr="00791AAE">
                    <w:t>DY5</w:t>
                  </w:r>
                </w:p>
                <w:p w14:paraId="58D3608A" w14:textId="77777777" w:rsidR="007B7BB7" w:rsidRPr="00791AAE" w:rsidRDefault="007B7BB7" w:rsidP="008635A2">
                  <w:pPr>
                    <w:pStyle w:val="NoSpacing"/>
                    <w:jc w:val="center"/>
                  </w:pPr>
                </w:p>
              </w:tc>
            </w:tr>
            <w:tr w:rsidR="007B7BB7" w14:paraId="6AA11D86" w14:textId="77777777" w:rsidTr="008635A2">
              <w:tc>
                <w:tcPr>
                  <w:tcW w:w="1880" w:type="dxa"/>
                  <w:vMerge w:val="restart"/>
                </w:tcPr>
                <w:p w14:paraId="5E6E340A" w14:textId="77777777" w:rsidR="007B7BB7" w:rsidRPr="00791AAE" w:rsidRDefault="007B7BB7" w:rsidP="008635A2">
                  <w:pPr>
                    <w:pStyle w:val="NoSpacing"/>
                    <w:jc w:val="center"/>
                  </w:pPr>
                  <w:r>
                    <w:t>Achievement Level Calculations</w:t>
                  </w:r>
                </w:p>
                <w:p w14:paraId="44CF432B" w14:textId="77777777" w:rsidR="007B7BB7" w:rsidRPr="00791AAE" w:rsidRDefault="007B7BB7" w:rsidP="008635A2">
                  <w:pPr>
                    <w:pStyle w:val="NoSpacing"/>
                    <w:jc w:val="center"/>
                  </w:pPr>
                </w:p>
              </w:tc>
              <w:tc>
                <w:tcPr>
                  <w:tcW w:w="1060" w:type="dxa"/>
                </w:tcPr>
                <w:p w14:paraId="5E5092CC" w14:textId="77777777" w:rsidR="007B7BB7" w:rsidRDefault="007B7BB7" w:rsidP="008635A2">
                  <w:pPr>
                    <w:pStyle w:val="NoSpacing"/>
                    <w:jc w:val="center"/>
                  </w:pPr>
                  <w:r>
                    <w:t>Baseline below MPL</w:t>
                  </w:r>
                </w:p>
              </w:tc>
              <w:tc>
                <w:tcPr>
                  <w:tcW w:w="1846" w:type="dxa"/>
                </w:tcPr>
                <w:p w14:paraId="541C9591" w14:textId="77777777" w:rsidR="007B7BB7" w:rsidRPr="00791AAE" w:rsidRDefault="007B7BB7" w:rsidP="008635A2">
                  <w:pPr>
                    <w:pStyle w:val="NoSpacing"/>
                    <w:jc w:val="center"/>
                  </w:pPr>
                  <w:r w:rsidRPr="00F2515D">
                    <w:t>MPL</w:t>
                  </w:r>
                </w:p>
              </w:tc>
              <w:tc>
                <w:tcPr>
                  <w:tcW w:w="1846" w:type="dxa"/>
                </w:tcPr>
                <w:p w14:paraId="67A2C65F" w14:textId="77777777" w:rsidR="007B7BB7" w:rsidRPr="00791AAE" w:rsidRDefault="007B7BB7" w:rsidP="008635A2">
                  <w:pPr>
                    <w:pStyle w:val="NoSpacing"/>
                    <w:jc w:val="center"/>
                  </w:pPr>
                  <w:r w:rsidRPr="00F2515D">
                    <w:t>MPL + 10%* (HPL-MPL)</w:t>
                  </w:r>
                </w:p>
              </w:tc>
            </w:tr>
            <w:tr w:rsidR="007B7BB7" w14:paraId="2902E4E4" w14:textId="77777777" w:rsidTr="008635A2">
              <w:tc>
                <w:tcPr>
                  <w:tcW w:w="1880" w:type="dxa"/>
                  <w:vMerge/>
                </w:tcPr>
                <w:p w14:paraId="41F696EA" w14:textId="77777777" w:rsidR="007B7BB7" w:rsidRPr="00791AAE" w:rsidRDefault="007B7BB7" w:rsidP="008635A2">
                  <w:pPr>
                    <w:pStyle w:val="NoSpacing"/>
                    <w:jc w:val="center"/>
                  </w:pPr>
                </w:p>
              </w:tc>
              <w:tc>
                <w:tcPr>
                  <w:tcW w:w="1060" w:type="dxa"/>
                </w:tcPr>
                <w:p w14:paraId="2C0864CD" w14:textId="77777777" w:rsidR="007B7BB7" w:rsidRDefault="007B7BB7" w:rsidP="008635A2">
                  <w:pPr>
                    <w:pStyle w:val="NoSpacing"/>
                    <w:jc w:val="center"/>
                  </w:pPr>
                  <w:r>
                    <w:t>Baseline above MPL</w:t>
                  </w:r>
                </w:p>
              </w:tc>
              <w:tc>
                <w:tcPr>
                  <w:tcW w:w="1846" w:type="dxa"/>
                </w:tcPr>
                <w:p w14:paraId="590FE57C" w14:textId="77777777" w:rsidR="007B7BB7" w:rsidRPr="00791AAE" w:rsidRDefault="007B7BB7" w:rsidP="008635A2">
                  <w:pPr>
                    <w:pStyle w:val="NoSpacing"/>
                    <w:jc w:val="center"/>
                  </w:pPr>
                  <w:r>
                    <w:t>B</w:t>
                  </w:r>
                  <w:r w:rsidRPr="00F2515D">
                    <w:t xml:space="preserve">aseline + 10%*(HPL - </w:t>
                  </w:r>
                  <w:r>
                    <w:t>B</w:t>
                  </w:r>
                  <w:r w:rsidRPr="00F2515D">
                    <w:t>aseline)</w:t>
                  </w:r>
                </w:p>
              </w:tc>
              <w:tc>
                <w:tcPr>
                  <w:tcW w:w="1846" w:type="dxa"/>
                </w:tcPr>
                <w:p w14:paraId="51E3BE28" w14:textId="77777777" w:rsidR="007B7BB7" w:rsidRPr="00791AAE" w:rsidRDefault="007B7BB7" w:rsidP="008635A2">
                  <w:pPr>
                    <w:pStyle w:val="NoSpacing"/>
                    <w:jc w:val="center"/>
                  </w:pPr>
                  <w:r>
                    <w:t>B</w:t>
                  </w:r>
                  <w:r w:rsidRPr="00155143">
                    <w:t xml:space="preserve">aseline + 20%*(HPL - </w:t>
                  </w:r>
                  <w:r>
                    <w:t>B</w:t>
                  </w:r>
                  <w:r w:rsidRPr="00155143">
                    <w:t>aseline)</w:t>
                  </w:r>
                </w:p>
              </w:tc>
            </w:tr>
          </w:tbl>
          <w:p w14:paraId="780D73C6" w14:textId="7D1BBEBC" w:rsidR="007B7BB7" w:rsidRDefault="007B7BB7" w:rsidP="00D127DE">
            <w:pPr>
              <w:pStyle w:val="NoSpacing"/>
            </w:pPr>
          </w:p>
        </w:tc>
      </w:tr>
      <w:tr w:rsidR="007B7BB7" w14:paraId="3808F17B" w14:textId="77777777" w:rsidTr="00AE3E40">
        <w:tc>
          <w:tcPr>
            <w:tcW w:w="2718" w:type="dxa"/>
          </w:tcPr>
          <w:p w14:paraId="6E3FB1A6" w14:textId="6F13C8EE" w:rsidR="007B7BB7" w:rsidRDefault="007B7BB7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Benchmark Description</w:t>
            </w:r>
          </w:p>
        </w:tc>
        <w:tc>
          <w:tcPr>
            <w:tcW w:w="6858" w:type="dxa"/>
          </w:tcPr>
          <w:tbl>
            <w:tblPr>
              <w:tblStyle w:val="TableGrid"/>
              <w:tblW w:w="6637" w:type="dxa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3230"/>
              <w:gridCol w:w="10"/>
            </w:tblGrid>
            <w:tr w:rsidR="007B7BB7" w14:paraId="3C320D19" w14:textId="77777777" w:rsidTr="008635A2">
              <w:trPr>
                <w:gridAfter w:val="1"/>
                <w:wAfter w:w="10" w:type="dxa"/>
              </w:trPr>
              <w:tc>
                <w:tcPr>
                  <w:tcW w:w="6627" w:type="dxa"/>
                  <w:gridSpan w:val="2"/>
                </w:tcPr>
                <w:p w14:paraId="651044F3" w14:textId="6F4E0E04" w:rsidR="007B7BB7" w:rsidRPr="00791AAE" w:rsidRDefault="007B7BB7" w:rsidP="00C8396B">
                  <w:pPr>
                    <w:pStyle w:val="NoSpacing"/>
                    <w:jc w:val="center"/>
                  </w:pPr>
                  <w:r w:rsidRPr="00E3780B">
                    <w:t>NCQA</w:t>
                  </w:r>
                  <w:r w:rsidR="00C8396B">
                    <w:t xml:space="preserve"> </w:t>
                  </w:r>
                  <w:r w:rsidRPr="00E3780B">
                    <w:t>Accreditation Benchmarks and Thresholds</w:t>
                  </w:r>
                </w:p>
              </w:tc>
            </w:tr>
            <w:tr w:rsidR="007B7BB7" w14:paraId="029F8083" w14:textId="77777777" w:rsidTr="008635A2">
              <w:tc>
                <w:tcPr>
                  <w:tcW w:w="3397" w:type="dxa"/>
                </w:tcPr>
                <w:p w14:paraId="672D445B" w14:textId="77777777" w:rsidR="007B7BB7" w:rsidRPr="00791AAE" w:rsidRDefault="007B7BB7" w:rsidP="008635A2">
                  <w:pPr>
                    <w:pStyle w:val="NoSpacing"/>
                    <w:jc w:val="center"/>
                  </w:pPr>
                  <w:r w:rsidRPr="00791AAE">
                    <w:t>HPL (90</w:t>
                  </w:r>
                  <w:r w:rsidRPr="00537ED7">
                    <w:rPr>
                      <w:vertAlign w:val="superscript"/>
                    </w:rPr>
                    <w:t>th</w:t>
                  </w:r>
                  <w:r w:rsidRPr="00791AAE">
                    <w:t xml:space="preserve"> Percentile)</w:t>
                  </w:r>
                </w:p>
              </w:tc>
              <w:tc>
                <w:tcPr>
                  <w:tcW w:w="3240" w:type="dxa"/>
                  <w:gridSpan w:val="2"/>
                </w:tcPr>
                <w:p w14:paraId="11303CF7" w14:textId="1DE36CAE" w:rsidR="007B7BB7" w:rsidRPr="00791AAE" w:rsidRDefault="007B7BB7" w:rsidP="008635A2">
                  <w:pPr>
                    <w:pStyle w:val="NoSpacing"/>
                    <w:jc w:val="center"/>
                  </w:pPr>
                  <w:r>
                    <w:t>78.51%</w:t>
                  </w:r>
                </w:p>
              </w:tc>
            </w:tr>
            <w:tr w:rsidR="007B7BB7" w14:paraId="004CEEFC" w14:textId="77777777" w:rsidTr="008635A2">
              <w:tc>
                <w:tcPr>
                  <w:tcW w:w="3397" w:type="dxa"/>
                </w:tcPr>
                <w:p w14:paraId="3C11DE95" w14:textId="77777777" w:rsidR="007B7BB7" w:rsidRPr="00791AAE" w:rsidRDefault="007B7BB7" w:rsidP="008635A2">
                  <w:pPr>
                    <w:pStyle w:val="NoSpacing"/>
                    <w:jc w:val="center"/>
                  </w:pPr>
                  <w:r>
                    <w:t>MPL (25</w:t>
                  </w:r>
                  <w:r w:rsidRPr="00791AAE">
                    <w:rPr>
                      <w:vertAlign w:val="superscript"/>
                    </w:rPr>
                    <w:t>th</w:t>
                  </w:r>
                  <w:r w:rsidRPr="00791AAE">
                    <w:t xml:space="preserve"> Percentile)</w:t>
                  </w:r>
                  <w:r>
                    <w:t xml:space="preserve"> or 10</w:t>
                  </w:r>
                  <w:r w:rsidRPr="001967CC">
                    <w:rPr>
                      <w:vertAlign w:val="superscript"/>
                    </w:rPr>
                    <w:t>th</w:t>
                  </w:r>
                  <w:r>
                    <w:t xml:space="preserve"> if applicable</w:t>
                  </w:r>
                </w:p>
              </w:tc>
              <w:tc>
                <w:tcPr>
                  <w:tcW w:w="3240" w:type="dxa"/>
                  <w:gridSpan w:val="2"/>
                </w:tcPr>
                <w:p w14:paraId="2BC00357" w14:textId="1DB1B8E5" w:rsidR="007B7BB7" w:rsidRPr="00791AAE" w:rsidRDefault="007B7BB7" w:rsidP="008635A2">
                  <w:pPr>
                    <w:pStyle w:val="NoSpacing"/>
                    <w:jc w:val="center"/>
                  </w:pPr>
                  <w:r>
                    <w:t>68.37%</w:t>
                  </w:r>
                </w:p>
              </w:tc>
            </w:tr>
          </w:tbl>
          <w:p w14:paraId="1C8F1442" w14:textId="77777777" w:rsidR="007B7BB7" w:rsidRDefault="007B7BB7" w:rsidP="00D127DE">
            <w:pPr>
              <w:pStyle w:val="NoSpacing"/>
            </w:pPr>
          </w:p>
        </w:tc>
      </w:tr>
      <w:tr w:rsidR="00AD706B" w14:paraId="780D73D0" w14:textId="77777777" w:rsidTr="00AE3E40">
        <w:tc>
          <w:tcPr>
            <w:tcW w:w="2718" w:type="dxa"/>
          </w:tcPr>
          <w:p w14:paraId="780D73C8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6858" w:type="dxa"/>
          </w:tcPr>
          <w:p w14:paraId="0A270D50" w14:textId="01A4DA16" w:rsidR="009F78A7" w:rsidRDefault="00310B32" w:rsidP="00AE3E40">
            <w:pPr>
              <w:pStyle w:val="NoSpacing"/>
            </w:pPr>
            <w:r w:rsidRPr="00787D45">
              <w:t>The</w:t>
            </w:r>
            <w:r>
              <w:t xml:space="preserve"> Measure Stew</w:t>
            </w:r>
            <w:bookmarkStart w:id="0" w:name="_GoBack"/>
            <w:bookmarkEnd w:id="0"/>
            <w:r>
              <w:t>ard’s specification has been modified as follows:</w:t>
            </w:r>
          </w:p>
          <w:p w14:paraId="780D73CF" w14:textId="350647CF" w:rsidR="00DE11DC" w:rsidRDefault="00DE11DC" w:rsidP="00310B32">
            <w:pPr>
              <w:pStyle w:val="NoSpacing"/>
              <w:numPr>
                <w:ilvl w:val="0"/>
                <w:numId w:val="9"/>
              </w:numPr>
            </w:pPr>
            <w:r>
              <w:t>Replaced health plan-specific language requiring continuous member enrollment and inserted a requirement that the patient must have at least one outpatient encounter in the prior year.</w:t>
            </w:r>
          </w:p>
        </w:tc>
      </w:tr>
      <w:tr w:rsidR="00AD706B" w14:paraId="780D73D3" w14:textId="77777777" w:rsidTr="00AE3E40">
        <w:tc>
          <w:tcPr>
            <w:tcW w:w="2718" w:type="dxa"/>
          </w:tcPr>
          <w:p w14:paraId="780D73D1" w14:textId="77777777"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6858" w:type="dxa"/>
          </w:tcPr>
          <w:p w14:paraId="780D73D2" w14:textId="695ACB95" w:rsidR="00AD706B" w:rsidRPr="009F7E66" w:rsidRDefault="00D127DE" w:rsidP="00310B32">
            <w:pPr>
              <w:pStyle w:val="NoSpacing"/>
            </w:pPr>
            <w:r w:rsidRPr="00D127DE">
              <w:t>Women 24-64 years of age as of the end of the measurement year</w:t>
            </w:r>
            <w:r w:rsidR="00ED7ECB">
              <w:t xml:space="preserve"> </w:t>
            </w:r>
          </w:p>
        </w:tc>
      </w:tr>
      <w:tr w:rsidR="00787D45" w14:paraId="780D73D6" w14:textId="77777777" w:rsidTr="00AE3E40">
        <w:trPr>
          <w:trHeight w:val="728"/>
        </w:trPr>
        <w:tc>
          <w:tcPr>
            <w:tcW w:w="2718" w:type="dxa"/>
          </w:tcPr>
          <w:p w14:paraId="780D73D4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Inclusions</w:t>
            </w:r>
          </w:p>
        </w:tc>
        <w:tc>
          <w:tcPr>
            <w:tcW w:w="6858" w:type="dxa"/>
          </w:tcPr>
          <w:p w14:paraId="780D73D5" w14:textId="71D6920F" w:rsidR="00787D45" w:rsidRPr="00453A3A" w:rsidRDefault="00310B32" w:rsidP="00310B32">
            <w:pPr>
              <w:pStyle w:val="NoSpacing"/>
            </w:pPr>
            <w:r w:rsidRPr="00310B32">
              <w:t xml:space="preserve">Women must have </w:t>
            </w:r>
            <w:r w:rsidR="00DE11DC">
              <w:t xml:space="preserve">had at least one (1) outpatient encounter in the prior 12-month period. </w:t>
            </w:r>
          </w:p>
        </w:tc>
      </w:tr>
      <w:tr w:rsidR="00787D45" w14:paraId="780D73D9" w14:textId="77777777" w:rsidTr="00AE3E40">
        <w:trPr>
          <w:trHeight w:val="710"/>
        </w:trPr>
        <w:tc>
          <w:tcPr>
            <w:tcW w:w="2718" w:type="dxa"/>
          </w:tcPr>
          <w:p w14:paraId="780D73D7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Exclusions</w:t>
            </w:r>
          </w:p>
        </w:tc>
        <w:tc>
          <w:tcPr>
            <w:tcW w:w="6858" w:type="dxa"/>
          </w:tcPr>
          <w:p w14:paraId="780D73D8" w14:textId="0C6032E1" w:rsidR="00787D45" w:rsidRPr="001D6BEA" w:rsidRDefault="00D127DE" w:rsidP="002F15E3">
            <w:pPr>
              <w:pStyle w:val="NoSpacing"/>
            </w:pPr>
            <w:r>
              <w:t>Exclude women</w:t>
            </w:r>
            <w:r w:rsidRPr="00D127DE">
              <w:t xml:space="preserve"> who had a hysterectomy with no residual cervix any time during their medical history through the end of the measurement year.</w:t>
            </w:r>
          </w:p>
        </w:tc>
      </w:tr>
      <w:tr w:rsidR="00D63CD3" w14:paraId="780D73DF" w14:textId="77777777" w:rsidTr="00AE3E40">
        <w:tc>
          <w:tcPr>
            <w:tcW w:w="2718" w:type="dxa"/>
          </w:tcPr>
          <w:p w14:paraId="780D73DA" w14:textId="77777777" w:rsidR="00D63CD3" w:rsidRDefault="00D63CD3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Denominator Size</w:t>
            </w:r>
          </w:p>
        </w:tc>
        <w:tc>
          <w:tcPr>
            <w:tcW w:w="6858" w:type="dxa"/>
          </w:tcPr>
          <w:p w14:paraId="780D73DB" w14:textId="77777777"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>12-month measurement period (15 cases for a 6-month measurement period)</w:t>
            </w:r>
          </w:p>
          <w:p w14:paraId="780D73DC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lastRenderedPageBreak/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>denominator size is less than or equal to 75, providers must report on all cases. No sampling is allowed.</w:t>
            </w:r>
          </w:p>
          <w:p w14:paraId="780D73DD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providers must report on </w:t>
            </w:r>
            <w:r w:rsidR="003A409E">
              <w:t xml:space="preserve">all cases (preferred, particularly for providers using an electronic health record) or </w:t>
            </w:r>
            <w:r>
              <w:t>a random sample of not less than 76 cases.</w:t>
            </w:r>
          </w:p>
          <w:p w14:paraId="780D73DE" w14:textId="77777777" w:rsidR="0032246B" w:rsidRPr="001D6BEA" w:rsidRDefault="0032246B" w:rsidP="00561D6D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11709A">
              <w:t>(either 6 or 12-months) where the denominator size</w:t>
            </w:r>
            <w:r>
              <w:t xml:space="preserve"> is greater than </w:t>
            </w:r>
            <w:r w:rsidR="00561D6D">
              <w:t>380</w:t>
            </w:r>
            <w:r>
              <w:t xml:space="preserve">, providers must report on </w:t>
            </w:r>
            <w:r w:rsidR="003A409E">
              <w:t xml:space="preserve">all cases (preferred, particularly for providers using an electronic health record) or </w:t>
            </w:r>
            <w:r>
              <w:t xml:space="preserve">a random sample of cases that is not less than 20% of all cases; however, providers may cap the </w:t>
            </w:r>
            <w:r w:rsidR="0011709A">
              <w:t xml:space="preserve">total </w:t>
            </w:r>
            <w:r>
              <w:t xml:space="preserve">sample size at 300 cases. </w:t>
            </w:r>
          </w:p>
        </w:tc>
      </w:tr>
      <w:tr w:rsidR="00AC3A97" w14:paraId="780D73E2" w14:textId="77777777" w:rsidTr="00AE3E40">
        <w:tc>
          <w:tcPr>
            <w:tcW w:w="2718" w:type="dxa"/>
          </w:tcPr>
          <w:p w14:paraId="780D73E0" w14:textId="77777777"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Numerator Description </w:t>
            </w:r>
          </w:p>
        </w:tc>
        <w:tc>
          <w:tcPr>
            <w:tcW w:w="6858" w:type="dxa"/>
          </w:tcPr>
          <w:p w14:paraId="780D73E1" w14:textId="52A17C84" w:rsidR="00AC3A97" w:rsidRPr="009F7E66" w:rsidRDefault="00D127DE" w:rsidP="00AF103E">
            <w:pPr>
              <w:pStyle w:val="NoSpacing"/>
            </w:pPr>
            <w:r w:rsidRPr="00D127DE">
              <w:t>The number of women who were screened for cervical cancer</w:t>
            </w:r>
            <w:r w:rsidR="00310B32">
              <w:t xml:space="preserve"> </w:t>
            </w:r>
            <w:r w:rsidR="00310B32" w:rsidRPr="00310B32">
              <w:t>during the measurement year or the two years prior to the measurement year</w:t>
            </w:r>
            <w:r w:rsidRPr="00D127DE">
              <w:t>.</w:t>
            </w:r>
          </w:p>
        </w:tc>
      </w:tr>
      <w:tr w:rsidR="00787D45" w14:paraId="780D73E5" w14:textId="77777777" w:rsidTr="00AE3E40">
        <w:tc>
          <w:tcPr>
            <w:tcW w:w="2718" w:type="dxa"/>
          </w:tcPr>
          <w:p w14:paraId="780D73E3" w14:textId="77777777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Inclusions</w:t>
            </w:r>
          </w:p>
        </w:tc>
        <w:tc>
          <w:tcPr>
            <w:tcW w:w="6858" w:type="dxa"/>
          </w:tcPr>
          <w:p w14:paraId="780D73E4" w14:textId="6E5D8DBB" w:rsidR="00310B32" w:rsidRPr="00310B32" w:rsidRDefault="00310B32" w:rsidP="002F15E3">
            <w:pPr>
              <w:pStyle w:val="NoSpacing"/>
            </w:pPr>
            <w:r w:rsidRPr="00310B32">
              <w:t>A woman had a Pap test if a submitted claim/encounter contains any one of the codes listed in Table CCS-A of the original measure documentation to identify cervical cancer screening.</w:t>
            </w:r>
            <w:r w:rsidR="00AE3E40">
              <w:t xml:space="preserve"> Refer to National Committee for Quality Assurance hyperlink above to access Table CCS-A. </w:t>
            </w:r>
          </w:p>
        </w:tc>
      </w:tr>
      <w:tr w:rsidR="00787D45" w14:paraId="780D73E8" w14:textId="77777777" w:rsidTr="00AE3E40">
        <w:tc>
          <w:tcPr>
            <w:tcW w:w="2718" w:type="dxa"/>
          </w:tcPr>
          <w:p w14:paraId="780D73E6" w14:textId="77777777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Exclusions</w:t>
            </w:r>
          </w:p>
        </w:tc>
        <w:tc>
          <w:tcPr>
            <w:tcW w:w="6858" w:type="dxa"/>
          </w:tcPr>
          <w:p w14:paraId="780D73E7" w14:textId="67C7C437" w:rsidR="00787D45" w:rsidRPr="001D6BEA" w:rsidRDefault="00787D45" w:rsidP="002F15E3">
            <w:pPr>
              <w:pStyle w:val="NoSpacing"/>
            </w:pPr>
            <w:r>
              <w:t>The Measure Steward does not identify specific numerator exclusions beyond what is described</w:t>
            </w:r>
            <w:r w:rsidR="00D127DE">
              <w:t xml:space="preserve"> in the numerator description.</w:t>
            </w:r>
          </w:p>
        </w:tc>
      </w:tr>
      <w:tr w:rsidR="00AD706B" w14:paraId="780D73EB" w14:textId="77777777" w:rsidTr="00AE3E40">
        <w:tc>
          <w:tcPr>
            <w:tcW w:w="2718" w:type="dxa"/>
          </w:tcPr>
          <w:p w14:paraId="780D73E9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6858" w:type="dxa"/>
          </w:tcPr>
          <w:p w14:paraId="780D73EA" w14:textId="3CFB19CF" w:rsidR="00AD706B" w:rsidRDefault="00AD706B" w:rsidP="00D127DE">
            <w:pPr>
              <w:pStyle w:val="NoSpacing"/>
            </w:pPr>
            <w:r>
              <w:t>Ambulatory</w:t>
            </w:r>
          </w:p>
        </w:tc>
      </w:tr>
      <w:tr w:rsidR="00AD706B" w14:paraId="780D73EE" w14:textId="77777777" w:rsidTr="00AE3E40">
        <w:tc>
          <w:tcPr>
            <w:tcW w:w="2718" w:type="dxa"/>
          </w:tcPr>
          <w:p w14:paraId="780D73EC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6858" w:type="dxa"/>
          </w:tcPr>
          <w:p w14:paraId="780D73ED" w14:textId="4662B27E" w:rsidR="00AD706B" w:rsidRDefault="00AF3A3D" w:rsidP="00AF3A3D">
            <w:pPr>
              <w:pStyle w:val="NoSpacing"/>
            </w:pPr>
            <w:r>
              <w:t>Administ</w:t>
            </w:r>
            <w:r w:rsidR="00D127DE">
              <w:t>rative/Clinical data sources</w:t>
            </w:r>
          </w:p>
        </w:tc>
      </w:tr>
      <w:tr w:rsidR="00C35C05" w14:paraId="780D740D" w14:textId="77777777" w:rsidTr="00AE3E40">
        <w:tc>
          <w:tcPr>
            <w:tcW w:w="2718" w:type="dxa"/>
          </w:tcPr>
          <w:p w14:paraId="780D73EF" w14:textId="2C7139EB" w:rsidR="00C35C05" w:rsidRPr="00717546" w:rsidRDefault="00C35C05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</w:p>
        </w:tc>
        <w:tc>
          <w:tcPr>
            <w:tcW w:w="6858" w:type="dxa"/>
          </w:tcPr>
          <w:p w14:paraId="142EF701" w14:textId="77777777" w:rsidR="00C35C05" w:rsidRDefault="00C35C05" w:rsidP="008635A2">
            <w:pPr>
              <w:pStyle w:val="NoSpacing"/>
            </w:pPr>
            <w:r>
              <w:t>All denominator subsets are permissible for this outcome</w:t>
            </w:r>
          </w:p>
          <w:p w14:paraId="780D740C" w14:textId="23307DC4" w:rsidR="00C35C05" w:rsidRDefault="00C35C05" w:rsidP="007F7C07">
            <w:pPr>
              <w:pStyle w:val="NoSpacing"/>
            </w:pPr>
            <w:r>
              <w:t> </w:t>
            </w:r>
          </w:p>
        </w:tc>
      </w:tr>
    </w:tbl>
    <w:p w14:paraId="780D745C" w14:textId="77777777" w:rsidR="00356CF4" w:rsidRPr="008F249E" w:rsidRDefault="00356CF4" w:rsidP="007C7C85">
      <w:pPr>
        <w:pStyle w:val="Heading2"/>
      </w:pPr>
    </w:p>
    <w:sectPr w:rsidR="00356CF4" w:rsidRPr="008F249E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32AE78" w15:done="0"/>
  <w15:commentEx w15:paraId="136E830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633B3" w14:textId="77777777" w:rsidR="00A34E48" w:rsidRDefault="00A34E48" w:rsidP="00F63191">
      <w:pPr>
        <w:spacing w:after="0" w:line="240" w:lineRule="auto"/>
      </w:pPr>
      <w:r>
        <w:separator/>
      </w:r>
    </w:p>
  </w:endnote>
  <w:endnote w:type="continuationSeparator" w:id="0">
    <w:p w14:paraId="65A14112" w14:textId="77777777" w:rsidR="00A34E48" w:rsidRDefault="00A34E48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C025F" w14:textId="0CAE49AF" w:rsidR="00C35C05" w:rsidRDefault="00C35C05">
    <w:pPr>
      <w:pStyle w:val="Footer"/>
    </w:pPr>
    <w:r>
      <w:t>09/</w:t>
    </w:r>
    <w:r w:rsidR="00091832">
      <w:t>26</w:t>
    </w:r>
    <w:r>
      <w:t>/14</w:t>
    </w:r>
  </w:p>
  <w:p w14:paraId="780D7463" w14:textId="77777777" w:rsidR="002E14AF" w:rsidRDefault="002E1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0B419" w14:textId="77777777" w:rsidR="00A34E48" w:rsidRDefault="00A34E48" w:rsidP="00F63191">
      <w:pPr>
        <w:spacing w:after="0" w:line="240" w:lineRule="auto"/>
      </w:pPr>
      <w:r>
        <w:separator/>
      </w:r>
    </w:p>
  </w:footnote>
  <w:footnote w:type="continuationSeparator" w:id="0">
    <w:p w14:paraId="6BAC1C0E" w14:textId="77777777" w:rsidR="00A34E48" w:rsidRDefault="00A34E48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D7461" w14:textId="046046B9" w:rsidR="008F0411" w:rsidRDefault="008F0411" w:rsidP="008F0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A4C"/>
    <w:multiLevelType w:val="hybridMultilevel"/>
    <w:tmpl w:val="6B32B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9248F"/>
    <w:multiLevelType w:val="hybridMultilevel"/>
    <w:tmpl w:val="85A45460"/>
    <w:lvl w:ilvl="0" w:tplc="7208F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43377"/>
    <w:multiLevelType w:val="hybridMultilevel"/>
    <w:tmpl w:val="15F4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3"/>
  </w:num>
  <w:num w:numId="6">
    <w:abstractNumId w:val="7"/>
  </w:num>
  <w:num w:numId="7">
    <w:abstractNumId w:val="13"/>
  </w:num>
  <w:num w:numId="8">
    <w:abstractNumId w:val="8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</w:num>
  <w:num w:numId="1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a Ketchel">
    <w15:presenceInfo w15:providerId="AD" w15:userId="S-1-5-21-565777859-672028841-965413785-118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17683"/>
    <w:rsid w:val="00091832"/>
    <w:rsid w:val="000A2D99"/>
    <w:rsid w:val="000C575F"/>
    <w:rsid w:val="000D1199"/>
    <w:rsid w:val="000D5A2D"/>
    <w:rsid w:val="000E7EED"/>
    <w:rsid w:val="00100A2F"/>
    <w:rsid w:val="00107C1A"/>
    <w:rsid w:val="00116208"/>
    <w:rsid w:val="0011709A"/>
    <w:rsid w:val="00142F74"/>
    <w:rsid w:val="00165D76"/>
    <w:rsid w:val="001B1B70"/>
    <w:rsid w:val="001D6BEA"/>
    <w:rsid w:val="002224F0"/>
    <w:rsid w:val="0023388D"/>
    <w:rsid w:val="00245754"/>
    <w:rsid w:val="00271E53"/>
    <w:rsid w:val="002845C2"/>
    <w:rsid w:val="002E14AF"/>
    <w:rsid w:val="00310B32"/>
    <w:rsid w:val="0032246B"/>
    <w:rsid w:val="003268B7"/>
    <w:rsid w:val="00346B8D"/>
    <w:rsid w:val="00356CF4"/>
    <w:rsid w:val="00366D0B"/>
    <w:rsid w:val="00375652"/>
    <w:rsid w:val="00383516"/>
    <w:rsid w:val="003844DB"/>
    <w:rsid w:val="003A409E"/>
    <w:rsid w:val="003F4E8D"/>
    <w:rsid w:val="00416E44"/>
    <w:rsid w:val="00453A3A"/>
    <w:rsid w:val="004E7F26"/>
    <w:rsid w:val="004F3078"/>
    <w:rsid w:val="00502BE4"/>
    <w:rsid w:val="00506BC5"/>
    <w:rsid w:val="00536799"/>
    <w:rsid w:val="0055690B"/>
    <w:rsid w:val="00561D6D"/>
    <w:rsid w:val="005802A0"/>
    <w:rsid w:val="005857E6"/>
    <w:rsid w:val="005B79DD"/>
    <w:rsid w:val="005C70A1"/>
    <w:rsid w:val="005F4D43"/>
    <w:rsid w:val="0071629B"/>
    <w:rsid w:val="007164C7"/>
    <w:rsid w:val="00743628"/>
    <w:rsid w:val="00760D27"/>
    <w:rsid w:val="00787D45"/>
    <w:rsid w:val="007A681D"/>
    <w:rsid w:val="007B7BB7"/>
    <w:rsid w:val="007C728B"/>
    <w:rsid w:val="007C7C85"/>
    <w:rsid w:val="007E0395"/>
    <w:rsid w:val="007F675B"/>
    <w:rsid w:val="007F7C07"/>
    <w:rsid w:val="00823868"/>
    <w:rsid w:val="00827557"/>
    <w:rsid w:val="008722BB"/>
    <w:rsid w:val="00874FAA"/>
    <w:rsid w:val="008779F5"/>
    <w:rsid w:val="0088642E"/>
    <w:rsid w:val="00886E0E"/>
    <w:rsid w:val="008A5405"/>
    <w:rsid w:val="008D1A8E"/>
    <w:rsid w:val="008F0411"/>
    <w:rsid w:val="008F249E"/>
    <w:rsid w:val="00965A2A"/>
    <w:rsid w:val="00967948"/>
    <w:rsid w:val="00994A41"/>
    <w:rsid w:val="00996DD5"/>
    <w:rsid w:val="009A7508"/>
    <w:rsid w:val="009C6EA3"/>
    <w:rsid w:val="009F04D0"/>
    <w:rsid w:val="009F78A7"/>
    <w:rsid w:val="009F7E66"/>
    <w:rsid w:val="00A04E21"/>
    <w:rsid w:val="00A11BD9"/>
    <w:rsid w:val="00A34E48"/>
    <w:rsid w:val="00A82574"/>
    <w:rsid w:val="00AA0CA2"/>
    <w:rsid w:val="00AC3A97"/>
    <w:rsid w:val="00AD706B"/>
    <w:rsid w:val="00AE3E40"/>
    <w:rsid w:val="00AF3A3D"/>
    <w:rsid w:val="00B05CBF"/>
    <w:rsid w:val="00B20462"/>
    <w:rsid w:val="00B546CF"/>
    <w:rsid w:val="00B65D92"/>
    <w:rsid w:val="00B7257A"/>
    <w:rsid w:val="00BA61F1"/>
    <w:rsid w:val="00BC4643"/>
    <w:rsid w:val="00C01E6F"/>
    <w:rsid w:val="00C35C05"/>
    <w:rsid w:val="00C36D72"/>
    <w:rsid w:val="00C83287"/>
    <w:rsid w:val="00C8396B"/>
    <w:rsid w:val="00C86C48"/>
    <w:rsid w:val="00C9758A"/>
    <w:rsid w:val="00CA2D3E"/>
    <w:rsid w:val="00CA4C08"/>
    <w:rsid w:val="00CC28BC"/>
    <w:rsid w:val="00CD7069"/>
    <w:rsid w:val="00D127DE"/>
    <w:rsid w:val="00D1777E"/>
    <w:rsid w:val="00D63CD3"/>
    <w:rsid w:val="00DB7651"/>
    <w:rsid w:val="00DE11DC"/>
    <w:rsid w:val="00DE660A"/>
    <w:rsid w:val="00E1692C"/>
    <w:rsid w:val="00E43145"/>
    <w:rsid w:val="00E9274D"/>
    <w:rsid w:val="00EB6678"/>
    <w:rsid w:val="00ED7ECB"/>
    <w:rsid w:val="00EF333D"/>
    <w:rsid w:val="00F05C01"/>
    <w:rsid w:val="00F069C3"/>
    <w:rsid w:val="00F06C5E"/>
    <w:rsid w:val="00F20443"/>
    <w:rsid w:val="00F63191"/>
    <w:rsid w:val="00F64CD1"/>
    <w:rsid w:val="00F927B0"/>
    <w:rsid w:val="00FB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D7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character" w:styleId="FollowedHyperlink">
    <w:name w:val="FollowedHyperlink"/>
    <w:basedOn w:val="DefaultParagraphFont"/>
    <w:uiPriority w:val="99"/>
    <w:semiHidden/>
    <w:unhideWhenUsed/>
    <w:rsid w:val="00DE11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character" w:styleId="FollowedHyperlink">
    <w:name w:val="FollowedHyperlink"/>
    <w:basedOn w:val="DefaultParagraphFont"/>
    <w:uiPriority w:val="99"/>
    <w:semiHidden/>
    <w:unhideWhenUsed/>
    <w:rsid w:val="00DE11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cqa.org/LinkClick.aspx?fileticket=POLoMIAi3Mo%3d&amp;tabid=59&amp;mid=1604&amp;forcedownload=true" TargetMode="Externa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microsoft.com/office/2007/relationships/stylesWithEffects" Target="stylesWithEffects.xml"/><Relationship Id="rId12" Type="http://schemas.openxmlformats.org/officeDocument/2006/relationships/hyperlink" Target="https://www.qualityforum.org/QPS/003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5D97F-0731-4ECF-84A5-B404AD898F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9A798-272A-4EC7-85BB-DFB1824B260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308BC5E-6DF3-471D-956D-A5DFD88A7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3E7AC2-7FAD-456D-8ECC-6835A8A3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2</cp:revision>
  <dcterms:created xsi:type="dcterms:W3CDTF">2014-09-26T20:15:00Z</dcterms:created>
  <dcterms:modified xsi:type="dcterms:W3CDTF">2014-09-26T20:15:00Z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