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E092F" w14:textId="77777777" w:rsidR="00AD706B" w:rsidRDefault="00AD706B" w:rsidP="00AD706B">
      <w:pPr>
        <w:pStyle w:val="Heading1"/>
      </w:pPr>
      <w:bookmarkStart w:id="0" w:name="_GoBack"/>
      <w:bookmarkEnd w:id="0"/>
      <w:r>
        <w:t>IT-</w:t>
      </w:r>
      <w:r w:rsidR="00C33D01">
        <w:t>12.12</w:t>
      </w:r>
      <w:r>
        <w:t xml:space="preserve">:  </w:t>
      </w:r>
      <w:r w:rsidR="00C33D01" w:rsidRPr="00C33D01">
        <w:t>Immunization and Recommended Immunization Schedule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AD706B" w14:paraId="264E0932" w14:textId="77777777" w:rsidTr="0011709A">
        <w:trPr>
          <w:tblHeader/>
        </w:trPr>
        <w:tc>
          <w:tcPr>
            <w:tcW w:w="2718" w:type="dxa"/>
            <w:shd w:val="clear" w:color="auto" w:fill="F2F2F2" w:themeFill="background1" w:themeFillShade="F2"/>
          </w:tcPr>
          <w:p w14:paraId="264E0930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264E0931" w14:textId="1D6F63B3" w:rsidR="00AD706B" w:rsidRPr="00C33D01" w:rsidRDefault="00AD5317" w:rsidP="00B7781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IT-12.12 </w:t>
            </w:r>
            <w:r w:rsidR="00C33D01" w:rsidRPr="00C33D01">
              <w:rPr>
                <w:b/>
              </w:rPr>
              <w:t xml:space="preserve">Immunizations: </w:t>
            </w:r>
            <w:r w:rsidR="00B77811">
              <w:rPr>
                <w:b/>
              </w:rPr>
              <w:t>P</w:t>
            </w:r>
            <w:r w:rsidR="00C33D01" w:rsidRPr="00C33D01">
              <w:rPr>
                <w:b/>
              </w:rPr>
              <w:t xml:space="preserve">ercentage of </w:t>
            </w:r>
            <w:r w:rsidR="00B77811">
              <w:rPr>
                <w:b/>
              </w:rPr>
              <w:t>P</w:t>
            </w:r>
            <w:r w:rsidR="00C33D01" w:rsidRPr="00C33D01">
              <w:rPr>
                <w:b/>
              </w:rPr>
              <w:t xml:space="preserve">atients or </w:t>
            </w:r>
            <w:r w:rsidR="00B77811">
              <w:rPr>
                <w:b/>
              </w:rPr>
              <w:t>P</w:t>
            </w:r>
            <w:r w:rsidR="00C33D01" w:rsidRPr="00C33D01">
              <w:rPr>
                <w:b/>
              </w:rPr>
              <w:t xml:space="preserve">arents (if </w:t>
            </w:r>
            <w:r w:rsidR="00B77811">
              <w:rPr>
                <w:b/>
              </w:rPr>
              <w:t>P</w:t>
            </w:r>
            <w:r w:rsidR="00C33D01" w:rsidRPr="00C33D01">
              <w:rPr>
                <w:b/>
              </w:rPr>
              <w:t xml:space="preserve">atient </w:t>
            </w:r>
            <w:r w:rsidR="00B77811">
              <w:rPr>
                <w:b/>
              </w:rPr>
              <w:t>Y</w:t>
            </w:r>
            <w:r w:rsidR="00C33D01" w:rsidRPr="00C33D01">
              <w:rPr>
                <w:b/>
              </w:rPr>
              <w:t xml:space="preserve">ounger than 18 </w:t>
            </w:r>
            <w:r w:rsidR="00B77811">
              <w:rPr>
                <w:b/>
              </w:rPr>
              <w:t>Y</w:t>
            </w:r>
            <w:r w:rsidR="00C33D01" w:rsidRPr="00C33D01">
              <w:rPr>
                <w:b/>
              </w:rPr>
              <w:t xml:space="preserve">ears) who </w:t>
            </w:r>
            <w:r w:rsidR="00B77811">
              <w:rPr>
                <w:b/>
              </w:rPr>
              <w:t>R</w:t>
            </w:r>
            <w:r w:rsidR="00C33D01" w:rsidRPr="00C33D01">
              <w:rPr>
                <w:b/>
              </w:rPr>
              <w:t xml:space="preserve">eceive </w:t>
            </w:r>
            <w:r w:rsidR="00B77811">
              <w:rPr>
                <w:b/>
              </w:rPr>
              <w:t>E</w:t>
            </w:r>
            <w:r w:rsidR="00C33D01" w:rsidRPr="00C33D01">
              <w:rPr>
                <w:b/>
              </w:rPr>
              <w:t xml:space="preserve">ducation </w:t>
            </w:r>
            <w:r w:rsidR="00B77811">
              <w:rPr>
                <w:b/>
              </w:rPr>
              <w:t>R</w:t>
            </w:r>
            <w:r w:rsidR="00C33D01" w:rsidRPr="00C33D01">
              <w:rPr>
                <w:b/>
              </w:rPr>
              <w:t xml:space="preserve">egarding the </w:t>
            </w:r>
            <w:r w:rsidR="00B77811">
              <w:rPr>
                <w:b/>
              </w:rPr>
              <w:t>I</w:t>
            </w:r>
            <w:r w:rsidR="00C33D01" w:rsidRPr="00C33D01">
              <w:rPr>
                <w:b/>
              </w:rPr>
              <w:t xml:space="preserve">mportance of </w:t>
            </w:r>
            <w:r w:rsidR="00B77811">
              <w:rPr>
                <w:b/>
              </w:rPr>
              <w:t>I</w:t>
            </w:r>
            <w:r w:rsidR="00C33D01" w:rsidRPr="00C33D01">
              <w:rPr>
                <w:b/>
              </w:rPr>
              <w:t xml:space="preserve">mmunizations and </w:t>
            </w:r>
            <w:r w:rsidR="00B77811">
              <w:rPr>
                <w:b/>
              </w:rPr>
              <w:t>R</w:t>
            </w:r>
            <w:r w:rsidR="00C33D01" w:rsidRPr="00C33D01">
              <w:rPr>
                <w:b/>
              </w:rPr>
              <w:t xml:space="preserve">ecommended </w:t>
            </w:r>
            <w:r w:rsidR="00B77811">
              <w:rPr>
                <w:b/>
              </w:rPr>
              <w:t>I</w:t>
            </w:r>
            <w:r w:rsidR="00C33D01" w:rsidRPr="00C33D01">
              <w:rPr>
                <w:b/>
              </w:rPr>
              <w:t xml:space="preserve">mmunization </w:t>
            </w:r>
            <w:r w:rsidR="00B77811">
              <w:rPr>
                <w:b/>
              </w:rPr>
              <w:t>Schedules</w:t>
            </w:r>
          </w:p>
        </w:tc>
      </w:tr>
      <w:tr w:rsidR="00AD706B" w14:paraId="264E0935" w14:textId="77777777" w:rsidTr="00A374B8">
        <w:tc>
          <w:tcPr>
            <w:tcW w:w="2718" w:type="dxa"/>
          </w:tcPr>
          <w:p w14:paraId="264E0933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6858" w:type="dxa"/>
          </w:tcPr>
          <w:p w14:paraId="264E0934" w14:textId="17C72C04" w:rsidR="00AD706B" w:rsidRDefault="00B77811" w:rsidP="00B77811">
            <w:pPr>
              <w:pStyle w:val="NoSpacing"/>
            </w:pPr>
            <w:r>
              <w:t>P</w:t>
            </w:r>
            <w:r w:rsidR="00C33D01">
              <w:t>ercentage of patients or parents (if patient younger than 18 years) who receive education regarding the importance of immunizations and recommended immunization schedules.</w:t>
            </w:r>
          </w:p>
        </w:tc>
      </w:tr>
      <w:tr w:rsidR="00AD706B" w14:paraId="264E0938" w14:textId="77777777" w:rsidTr="00A374B8">
        <w:tc>
          <w:tcPr>
            <w:tcW w:w="2718" w:type="dxa"/>
          </w:tcPr>
          <w:p w14:paraId="264E0936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6858" w:type="dxa"/>
          </w:tcPr>
          <w:p w14:paraId="264E0937" w14:textId="77777777" w:rsidR="00AD706B" w:rsidRDefault="00C33D01" w:rsidP="00B05CBF">
            <w:pPr>
              <w:pStyle w:val="NoSpacing"/>
            </w:pPr>
            <w:r>
              <w:t>Not Applicable</w:t>
            </w:r>
          </w:p>
        </w:tc>
      </w:tr>
      <w:tr w:rsidR="00AD706B" w14:paraId="264E093B" w14:textId="77777777" w:rsidTr="00A374B8">
        <w:tc>
          <w:tcPr>
            <w:tcW w:w="2718" w:type="dxa"/>
          </w:tcPr>
          <w:p w14:paraId="264E0939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Steward</w:t>
            </w:r>
          </w:p>
        </w:tc>
        <w:tc>
          <w:tcPr>
            <w:tcW w:w="6858" w:type="dxa"/>
          </w:tcPr>
          <w:p w14:paraId="264E093A" w14:textId="77777777" w:rsidR="00AD706B" w:rsidRPr="00631E85" w:rsidRDefault="00C33D01" w:rsidP="00A374B8">
            <w:pPr>
              <w:pStyle w:val="NoSpacing"/>
            </w:pPr>
            <w:r>
              <w:t>Institute for Clinical Systems Improvement</w:t>
            </w:r>
          </w:p>
        </w:tc>
      </w:tr>
      <w:tr w:rsidR="00AD706B" w14:paraId="264E093E" w14:textId="77777777" w:rsidTr="00A374B8">
        <w:tc>
          <w:tcPr>
            <w:tcW w:w="2718" w:type="dxa"/>
          </w:tcPr>
          <w:p w14:paraId="264E093C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Link to measure citation</w:t>
            </w:r>
          </w:p>
        </w:tc>
        <w:tc>
          <w:tcPr>
            <w:tcW w:w="6858" w:type="dxa"/>
          </w:tcPr>
          <w:p w14:paraId="264E093D" w14:textId="77777777" w:rsidR="00AD706B" w:rsidRPr="00631E85" w:rsidRDefault="00F81198" w:rsidP="00A374B8">
            <w:pPr>
              <w:pStyle w:val="NoSpacing"/>
            </w:pPr>
            <w:hyperlink r:id="rId12" w:history="1">
              <w:r w:rsidR="00786733" w:rsidRPr="00896B5B">
                <w:rPr>
                  <w:rStyle w:val="Hyperlink"/>
                </w:rPr>
                <w:t>http://www.qualitymeasures.ahrq.gov/popups/printView.aspx?id=36854</w:t>
              </w:r>
            </w:hyperlink>
            <w:r w:rsidR="00786733">
              <w:t xml:space="preserve"> </w:t>
            </w:r>
          </w:p>
        </w:tc>
      </w:tr>
      <w:tr w:rsidR="00AD706B" w14:paraId="264E0941" w14:textId="77777777" w:rsidTr="00A374B8">
        <w:tc>
          <w:tcPr>
            <w:tcW w:w="2718" w:type="dxa"/>
          </w:tcPr>
          <w:p w14:paraId="264E093F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6858" w:type="dxa"/>
          </w:tcPr>
          <w:p w14:paraId="264E0940" w14:textId="7D25AB51" w:rsidR="00AD706B" w:rsidRDefault="00B77811" w:rsidP="00AD706B">
            <w:pPr>
              <w:pStyle w:val="NoSpacing"/>
            </w:pPr>
            <w:r>
              <w:t>Non Stand-Alone (</w:t>
            </w:r>
            <w:r w:rsidR="00786733">
              <w:t>NSA</w:t>
            </w:r>
            <w:r>
              <w:t>)</w:t>
            </w:r>
          </w:p>
        </w:tc>
      </w:tr>
      <w:tr w:rsidR="00AD5317" w14:paraId="264E0944" w14:textId="77777777" w:rsidTr="00A374B8">
        <w:tc>
          <w:tcPr>
            <w:tcW w:w="2718" w:type="dxa"/>
          </w:tcPr>
          <w:p w14:paraId="264E0942" w14:textId="7BE79C04" w:rsidR="00AD5317" w:rsidRDefault="00AD5317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Performance and Achievement Type</w:t>
            </w:r>
          </w:p>
        </w:tc>
        <w:tc>
          <w:tcPr>
            <w:tcW w:w="6858" w:type="dxa"/>
          </w:tcPr>
          <w:p w14:paraId="264E0943" w14:textId="7F594AE6" w:rsidR="00AD5317" w:rsidRDefault="00AD5317" w:rsidP="00B77811">
            <w:pPr>
              <w:pStyle w:val="NoSpacing"/>
            </w:pPr>
            <w:r>
              <w:t>Pay-for-Reporting: Prior Authorization</w:t>
            </w:r>
          </w:p>
        </w:tc>
      </w:tr>
      <w:tr w:rsidR="00AD706B" w14:paraId="264E0948" w14:textId="77777777" w:rsidTr="00A374B8">
        <w:tc>
          <w:tcPr>
            <w:tcW w:w="2718" w:type="dxa"/>
          </w:tcPr>
          <w:p w14:paraId="264E0945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6858" w:type="dxa"/>
          </w:tcPr>
          <w:p w14:paraId="264E0947" w14:textId="3AA86749" w:rsidR="009F78A7" w:rsidRDefault="00B77811" w:rsidP="00B77811">
            <w:pPr>
              <w:pStyle w:val="NoSpacing"/>
            </w:pPr>
            <w:r>
              <w:t>None</w:t>
            </w:r>
          </w:p>
        </w:tc>
      </w:tr>
      <w:tr w:rsidR="00AD706B" w14:paraId="264E094B" w14:textId="77777777" w:rsidTr="00A374B8">
        <w:tc>
          <w:tcPr>
            <w:tcW w:w="2718" w:type="dxa"/>
          </w:tcPr>
          <w:p w14:paraId="264E0949" w14:textId="77777777"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6858" w:type="dxa"/>
          </w:tcPr>
          <w:p w14:paraId="39A30EEE" w14:textId="77777777" w:rsidR="006A1B10" w:rsidRDefault="00786733" w:rsidP="00786733">
            <w:pPr>
              <w:pStyle w:val="NoSpacing"/>
            </w:pPr>
            <w:r>
              <w:t xml:space="preserve">Number of patients, any age, </w:t>
            </w:r>
            <w:proofErr w:type="gramStart"/>
            <w:r>
              <w:t>who</w:t>
            </w:r>
            <w:proofErr w:type="gramEnd"/>
            <w:r>
              <w:t xml:space="preserve"> were eligible for immunizations</w:t>
            </w:r>
            <w:r w:rsidR="006A1B10">
              <w:t xml:space="preserve"> within the specified measurement period.</w:t>
            </w:r>
          </w:p>
          <w:p w14:paraId="409B90F3" w14:textId="77777777" w:rsidR="006A1B10" w:rsidRDefault="006A1B10" w:rsidP="00786733">
            <w:pPr>
              <w:pStyle w:val="NoSpacing"/>
            </w:pPr>
          </w:p>
          <w:p w14:paraId="264E094A" w14:textId="7FD435FB" w:rsidR="00AD706B" w:rsidRPr="009F7E66" w:rsidRDefault="00AD706B" w:rsidP="00786733">
            <w:pPr>
              <w:pStyle w:val="NoSpacing"/>
            </w:pPr>
          </w:p>
        </w:tc>
      </w:tr>
      <w:tr w:rsidR="00B05CBF" w14:paraId="264E0950" w14:textId="77777777" w:rsidTr="00B05CBF">
        <w:trPr>
          <w:trHeight w:val="728"/>
        </w:trPr>
        <w:tc>
          <w:tcPr>
            <w:tcW w:w="2718" w:type="dxa"/>
          </w:tcPr>
          <w:p w14:paraId="264E094C" w14:textId="3F8085D8" w:rsidR="00B05CBF" w:rsidRPr="00717546" w:rsidRDefault="00B05CBF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Inclusions</w:t>
            </w:r>
          </w:p>
        </w:tc>
        <w:tc>
          <w:tcPr>
            <w:tcW w:w="6858" w:type="dxa"/>
          </w:tcPr>
          <w:p w14:paraId="264E094F" w14:textId="50AC5A6D" w:rsidR="00B05CBF" w:rsidRPr="0012650D" w:rsidRDefault="00074A6F" w:rsidP="00074A6F">
            <w:pPr>
              <w:pStyle w:val="NoSpacing"/>
              <w:rPr>
                <w:b/>
              </w:rPr>
            </w:pPr>
            <w:r>
              <w:t>The Measure Steward does not identify specific denominator inclusions beyond what is described in the denominator description.</w:t>
            </w:r>
          </w:p>
        </w:tc>
      </w:tr>
      <w:tr w:rsidR="00B05CBF" w14:paraId="264E0953" w14:textId="77777777" w:rsidTr="00B05CBF">
        <w:trPr>
          <w:trHeight w:val="710"/>
        </w:trPr>
        <w:tc>
          <w:tcPr>
            <w:tcW w:w="2718" w:type="dxa"/>
          </w:tcPr>
          <w:p w14:paraId="264E0951" w14:textId="77777777" w:rsidR="00B05CBF" w:rsidRPr="00717546" w:rsidRDefault="00B05CBF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Exclusions</w:t>
            </w:r>
          </w:p>
        </w:tc>
        <w:tc>
          <w:tcPr>
            <w:tcW w:w="6858" w:type="dxa"/>
          </w:tcPr>
          <w:p w14:paraId="264E0952" w14:textId="77777777" w:rsidR="00B05CBF" w:rsidRPr="001D6BEA" w:rsidRDefault="009F04D0" w:rsidP="002E14AF">
            <w:pPr>
              <w:pStyle w:val="NoSpacing"/>
            </w:pPr>
            <w:r>
              <w:t>The Measure Steward does not identify specific denominator exclusions beyond what is described i</w:t>
            </w:r>
            <w:r w:rsidR="00D25A4B">
              <w:t>n the denominator description.</w:t>
            </w:r>
          </w:p>
        </w:tc>
      </w:tr>
      <w:tr w:rsidR="00D63CD3" w14:paraId="264E0959" w14:textId="77777777" w:rsidTr="00A374B8">
        <w:tc>
          <w:tcPr>
            <w:tcW w:w="2718" w:type="dxa"/>
          </w:tcPr>
          <w:p w14:paraId="264E0954" w14:textId="77777777" w:rsidR="00D63CD3" w:rsidRDefault="00D63CD3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Denominator Size</w:t>
            </w:r>
          </w:p>
        </w:tc>
        <w:tc>
          <w:tcPr>
            <w:tcW w:w="6858" w:type="dxa"/>
          </w:tcPr>
          <w:p w14:paraId="264E0955" w14:textId="77777777"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>12-month measurement period (15 cases for a 6-month measurement period)</w:t>
            </w:r>
          </w:p>
          <w:p w14:paraId="264E0956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>denominator size is less than or equal to 75, providers must report on all cases. No sampling is allowed.</w:t>
            </w:r>
          </w:p>
          <w:p w14:paraId="264E0957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providers must report on </w:t>
            </w:r>
            <w:r w:rsidR="003A409E">
              <w:t xml:space="preserve">all cases (preferred, particularly for providers using an electronic health record) or </w:t>
            </w:r>
            <w:r>
              <w:t>a random sample of not less than 76 cases.</w:t>
            </w:r>
          </w:p>
          <w:p w14:paraId="264E0958" w14:textId="7C1B8ABD" w:rsidR="0032246B" w:rsidRPr="001D6BEA" w:rsidRDefault="0032246B" w:rsidP="00EA064E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11709A">
              <w:t>(either 6 or 12-months) where the denominator size</w:t>
            </w:r>
            <w:r>
              <w:t xml:space="preserve"> is greater than </w:t>
            </w:r>
            <w:r w:rsidR="00EA064E">
              <w:t>380</w:t>
            </w:r>
            <w:r>
              <w:t xml:space="preserve">, providers must report on </w:t>
            </w:r>
            <w:r w:rsidR="003A409E">
              <w:t xml:space="preserve">all cases (preferred, particularly for providers using an electronic health record) or </w:t>
            </w:r>
            <w:r>
              <w:t xml:space="preserve">a random sample of cases that is not less than 20% of all cases; however, providers may cap the </w:t>
            </w:r>
            <w:r w:rsidR="0011709A">
              <w:t xml:space="preserve">total </w:t>
            </w:r>
            <w:r>
              <w:t xml:space="preserve">sample size at 300 cases. </w:t>
            </w:r>
          </w:p>
        </w:tc>
      </w:tr>
      <w:tr w:rsidR="00AC3A97" w14:paraId="264E095C" w14:textId="77777777" w:rsidTr="00A374B8">
        <w:tc>
          <w:tcPr>
            <w:tcW w:w="2718" w:type="dxa"/>
          </w:tcPr>
          <w:p w14:paraId="264E095A" w14:textId="77777777"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Numerator Description </w:t>
            </w:r>
          </w:p>
        </w:tc>
        <w:tc>
          <w:tcPr>
            <w:tcW w:w="6858" w:type="dxa"/>
          </w:tcPr>
          <w:p w14:paraId="264E095B" w14:textId="77777777" w:rsidR="00AC3A97" w:rsidRPr="009F7E66" w:rsidRDefault="00786733" w:rsidP="00AF103E">
            <w:pPr>
              <w:pStyle w:val="NoSpacing"/>
            </w:pPr>
            <w:r>
              <w:t>Number of patients or parents (if patient younger than 18 years) who receive education regarding the importance of immunizations and recommended immunization schedules</w:t>
            </w:r>
          </w:p>
        </w:tc>
      </w:tr>
      <w:tr w:rsidR="00AC3A97" w14:paraId="264E095F" w14:textId="77777777" w:rsidTr="00A374B8">
        <w:tc>
          <w:tcPr>
            <w:tcW w:w="2718" w:type="dxa"/>
          </w:tcPr>
          <w:p w14:paraId="264E095D" w14:textId="77777777"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Inclusions</w:t>
            </w:r>
          </w:p>
        </w:tc>
        <w:tc>
          <w:tcPr>
            <w:tcW w:w="6858" w:type="dxa"/>
          </w:tcPr>
          <w:p w14:paraId="264E095E" w14:textId="7BD37269" w:rsidR="00AC3A97" w:rsidRPr="00B77811" w:rsidRDefault="00B77811" w:rsidP="00B77811">
            <w:pPr>
              <w:pStyle w:val="NoSpacing"/>
            </w:pPr>
            <w:r w:rsidRPr="00B77811">
              <w:t xml:space="preserve">The Measure Steward does not identify specific numerator </w:t>
            </w:r>
            <w:r>
              <w:t>inclusions</w:t>
            </w:r>
            <w:r w:rsidRPr="00B77811">
              <w:t xml:space="preserve"> beyond what is described in the numerator description.</w:t>
            </w:r>
          </w:p>
        </w:tc>
      </w:tr>
      <w:tr w:rsidR="00AC3A97" w14:paraId="264E0962" w14:textId="77777777" w:rsidTr="00A374B8">
        <w:tc>
          <w:tcPr>
            <w:tcW w:w="2718" w:type="dxa"/>
          </w:tcPr>
          <w:p w14:paraId="264E0960" w14:textId="77777777"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Exclusions</w:t>
            </w:r>
          </w:p>
        </w:tc>
        <w:tc>
          <w:tcPr>
            <w:tcW w:w="6858" w:type="dxa"/>
          </w:tcPr>
          <w:p w14:paraId="264E0961" w14:textId="77777777" w:rsidR="00AC3A97" w:rsidRPr="001D6BEA" w:rsidRDefault="009F04D0" w:rsidP="002E14AF">
            <w:pPr>
              <w:pStyle w:val="NoSpacing"/>
            </w:pPr>
            <w:r>
              <w:t>The Measure Steward does not identify specific numerator exclusions beyond what is described</w:t>
            </w:r>
            <w:r w:rsidR="00D25A4B">
              <w:t xml:space="preserve"> in the numerator description.</w:t>
            </w:r>
          </w:p>
        </w:tc>
      </w:tr>
      <w:tr w:rsidR="00AD706B" w14:paraId="264E0965" w14:textId="77777777" w:rsidTr="00A374B8">
        <w:tc>
          <w:tcPr>
            <w:tcW w:w="2718" w:type="dxa"/>
          </w:tcPr>
          <w:p w14:paraId="264E0963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6858" w:type="dxa"/>
          </w:tcPr>
          <w:p w14:paraId="264E0964" w14:textId="77777777" w:rsidR="00AD706B" w:rsidRDefault="00D25A4B" w:rsidP="00CD7069">
            <w:pPr>
              <w:pStyle w:val="NoSpacing"/>
            </w:pPr>
            <w:r>
              <w:t xml:space="preserve">Ambulatory </w:t>
            </w:r>
          </w:p>
        </w:tc>
      </w:tr>
      <w:tr w:rsidR="00AD706B" w14:paraId="264E0968" w14:textId="77777777" w:rsidTr="00A374B8">
        <w:tc>
          <w:tcPr>
            <w:tcW w:w="2718" w:type="dxa"/>
          </w:tcPr>
          <w:p w14:paraId="264E0966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6858" w:type="dxa"/>
          </w:tcPr>
          <w:p w14:paraId="264E0967" w14:textId="1F9B46BA" w:rsidR="00AD706B" w:rsidRDefault="00EA064E" w:rsidP="00AF3A3D">
            <w:pPr>
              <w:pStyle w:val="NoSpacing"/>
            </w:pPr>
            <w:r>
              <w:t>Clinical Record, Electronic Health Record, Registry, Paper medical record</w:t>
            </w:r>
          </w:p>
        </w:tc>
      </w:tr>
      <w:tr w:rsidR="00AD5317" w14:paraId="264E0987" w14:textId="77777777" w:rsidTr="00A374B8">
        <w:tc>
          <w:tcPr>
            <w:tcW w:w="2718" w:type="dxa"/>
          </w:tcPr>
          <w:p w14:paraId="264E0969" w14:textId="22F51A13" w:rsidR="00AD5317" w:rsidRPr="00717546" w:rsidRDefault="00AD5317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</w:p>
        </w:tc>
        <w:tc>
          <w:tcPr>
            <w:tcW w:w="6858" w:type="dxa"/>
          </w:tcPr>
          <w:p w14:paraId="3E94997F" w14:textId="77777777" w:rsidR="00AD5317" w:rsidRDefault="00AD5317" w:rsidP="008E6242">
            <w:pPr>
              <w:pStyle w:val="NoSpacing"/>
            </w:pPr>
            <w:r>
              <w:t>All denominator subsets are permissible for this outcome</w:t>
            </w:r>
          </w:p>
          <w:p w14:paraId="264E0986" w14:textId="6B239ADB" w:rsidR="00AD5317" w:rsidRDefault="00AD5317" w:rsidP="007F7C07">
            <w:pPr>
              <w:pStyle w:val="NoSpacing"/>
            </w:pPr>
            <w:r>
              <w:t> </w:t>
            </w:r>
          </w:p>
        </w:tc>
      </w:tr>
    </w:tbl>
    <w:p w14:paraId="264E09D1" w14:textId="77777777" w:rsidR="00356CF4" w:rsidRPr="008F249E" w:rsidRDefault="00356CF4" w:rsidP="007C7C85">
      <w:pPr>
        <w:pStyle w:val="Heading2"/>
      </w:pPr>
    </w:p>
    <w:sectPr w:rsidR="00356CF4" w:rsidRPr="008F249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E09D4" w14:textId="77777777" w:rsidR="00AF688D" w:rsidRDefault="00AF688D" w:rsidP="00F63191">
      <w:pPr>
        <w:spacing w:after="0" w:line="240" w:lineRule="auto"/>
      </w:pPr>
      <w:r>
        <w:separator/>
      </w:r>
    </w:p>
  </w:endnote>
  <w:endnote w:type="continuationSeparator" w:id="0">
    <w:p w14:paraId="264E09D5" w14:textId="77777777" w:rsidR="00AF688D" w:rsidRDefault="00AF688D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548BE" w14:textId="01D6A111" w:rsidR="00AD5317" w:rsidRDefault="00AD5317">
    <w:pPr>
      <w:pStyle w:val="Footer"/>
    </w:pPr>
    <w:r>
      <w:t>09/</w:t>
    </w:r>
    <w:r w:rsidR="00C92534">
      <w:t>29</w:t>
    </w:r>
    <w:r>
      <w:t>/14</w:t>
    </w:r>
  </w:p>
  <w:p w14:paraId="264E09D8" w14:textId="77777777" w:rsidR="002E14AF" w:rsidRDefault="002E1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E09D2" w14:textId="77777777" w:rsidR="00AF688D" w:rsidRDefault="00AF688D" w:rsidP="00F63191">
      <w:pPr>
        <w:spacing w:after="0" w:line="240" w:lineRule="auto"/>
      </w:pPr>
      <w:r>
        <w:separator/>
      </w:r>
    </w:p>
  </w:footnote>
  <w:footnote w:type="continuationSeparator" w:id="0">
    <w:p w14:paraId="264E09D3" w14:textId="77777777" w:rsidR="00AF688D" w:rsidRDefault="00AF688D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E09D6" w14:textId="77777777" w:rsidR="008F0411" w:rsidRDefault="008F0411" w:rsidP="008F0411">
    <w:pPr>
      <w:pStyle w:val="Header"/>
      <w:jc w:val="right"/>
    </w:pPr>
    <w:r>
      <w:t>Template DRAFT: 2/5/2014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51C1B"/>
    <w:rsid w:val="00074A6F"/>
    <w:rsid w:val="000C575F"/>
    <w:rsid w:val="000D1199"/>
    <w:rsid w:val="000D5A2D"/>
    <w:rsid w:val="000E7EED"/>
    <w:rsid w:val="00100A2F"/>
    <w:rsid w:val="00107C1A"/>
    <w:rsid w:val="0011709A"/>
    <w:rsid w:val="00165D76"/>
    <w:rsid w:val="001672D3"/>
    <w:rsid w:val="001D6BEA"/>
    <w:rsid w:val="001F13F7"/>
    <w:rsid w:val="002224F0"/>
    <w:rsid w:val="00245754"/>
    <w:rsid w:val="00271E53"/>
    <w:rsid w:val="002845C2"/>
    <w:rsid w:val="002E14AF"/>
    <w:rsid w:val="0032246B"/>
    <w:rsid w:val="00346B8D"/>
    <w:rsid w:val="00356CF4"/>
    <w:rsid w:val="00366D0B"/>
    <w:rsid w:val="00375652"/>
    <w:rsid w:val="00383516"/>
    <w:rsid w:val="003844DB"/>
    <w:rsid w:val="003A409E"/>
    <w:rsid w:val="003F4E8D"/>
    <w:rsid w:val="00416E44"/>
    <w:rsid w:val="00502BE4"/>
    <w:rsid w:val="00506BC5"/>
    <w:rsid w:val="00536799"/>
    <w:rsid w:val="005802A0"/>
    <w:rsid w:val="005857E6"/>
    <w:rsid w:val="005B79DD"/>
    <w:rsid w:val="005C70A1"/>
    <w:rsid w:val="005F4D43"/>
    <w:rsid w:val="006A1B10"/>
    <w:rsid w:val="00701551"/>
    <w:rsid w:val="007164C7"/>
    <w:rsid w:val="00743628"/>
    <w:rsid w:val="00760D27"/>
    <w:rsid w:val="00786733"/>
    <w:rsid w:val="007C728B"/>
    <w:rsid w:val="007C7C85"/>
    <w:rsid w:val="007E0395"/>
    <w:rsid w:val="007F675B"/>
    <w:rsid w:val="007F7C07"/>
    <w:rsid w:val="00823868"/>
    <w:rsid w:val="00827557"/>
    <w:rsid w:val="008722BB"/>
    <w:rsid w:val="008779F5"/>
    <w:rsid w:val="0088642E"/>
    <w:rsid w:val="00886E0E"/>
    <w:rsid w:val="008A5405"/>
    <w:rsid w:val="008D1A8E"/>
    <w:rsid w:val="008F0411"/>
    <w:rsid w:val="008F249E"/>
    <w:rsid w:val="00965A2A"/>
    <w:rsid w:val="00967948"/>
    <w:rsid w:val="00994A41"/>
    <w:rsid w:val="00996DD5"/>
    <w:rsid w:val="009C6EA3"/>
    <w:rsid w:val="009F04D0"/>
    <w:rsid w:val="009F78A7"/>
    <w:rsid w:val="009F7E66"/>
    <w:rsid w:val="00A11BD9"/>
    <w:rsid w:val="00A82574"/>
    <w:rsid w:val="00AC3A97"/>
    <w:rsid w:val="00AD5317"/>
    <w:rsid w:val="00AD706B"/>
    <w:rsid w:val="00AF3A3D"/>
    <w:rsid w:val="00AF688D"/>
    <w:rsid w:val="00B05CBF"/>
    <w:rsid w:val="00B20462"/>
    <w:rsid w:val="00B546CF"/>
    <w:rsid w:val="00B65D92"/>
    <w:rsid w:val="00B77811"/>
    <w:rsid w:val="00BA61F1"/>
    <w:rsid w:val="00BC4643"/>
    <w:rsid w:val="00C01E6F"/>
    <w:rsid w:val="00C33D01"/>
    <w:rsid w:val="00C86C48"/>
    <w:rsid w:val="00C92534"/>
    <w:rsid w:val="00C9758A"/>
    <w:rsid w:val="00CA2D3E"/>
    <w:rsid w:val="00CA4C08"/>
    <w:rsid w:val="00CC28BC"/>
    <w:rsid w:val="00CD7069"/>
    <w:rsid w:val="00D1777E"/>
    <w:rsid w:val="00D25A4B"/>
    <w:rsid w:val="00D63CD3"/>
    <w:rsid w:val="00DB7651"/>
    <w:rsid w:val="00DE660A"/>
    <w:rsid w:val="00E43145"/>
    <w:rsid w:val="00EA064E"/>
    <w:rsid w:val="00EB6678"/>
    <w:rsid w:val="00EF333D"/>
    <w:rsid w:val="00F05C01"/>
    <w:rsid w:val="00F069C3"/>
    <w:rsid w:val="00F06C5E"/>
    <w:rsid w:val="00F17199"/>
    <w:rsid w:val="00F20443"/>
    <w:rsid w:val="00F63191"/>
    <w:rsid w:val="00F64CD1"/>
    <w:rsid w:val="00F81198"/>
    <w:rsid w:val="00F927B0"/>
    <w:rsid w:val="00FB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E0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qualitymeasures.ahrq.gov/popups/printView.aspx?id=3685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2B0F8-A553-4CD3-90DB-3619365A80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9AB4D7-95DC-4131-B623-884370D26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F813A4-90AD-4551-BC44-B26CB809FEE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127BF79-B437-4E8F-9D67-722E1E48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2</cp:revision>
  <dcterms:created xsi:type="dcterms:W3CDTF">2014-09-29T13:22:00Z</dcterms:created>
  <dcterms:modified xsi:type="dcterms:W3CDTF">2014-09-29T13:22:00Z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