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96" w:rsidRPr="00DD1C68" w:rsidRDefault="00DA1196" w:rsidP="00DA1196">
      <w:pPr>
        <w:pStyle w:val="Heading1"/>
      </w:pPr>
      <w:bookmarkStart w:id="0" w:name="_GoBack"/>
      <w:bookmarkEnd w:id="0"/>
      <w:r w:rsidRPr="00DD1C68">
        <w:t>IT-</w:t>
      </w:r>
      <w:r w:rsidR="00A029D7">
        <w:t>11.25</w:t>
      </w:r>
      <w:r w:rsidRPr="00DD1C68">
        <w:t xml:space="preserve">:  </w:t>
      </w:r>
      <w:r w:rsidR="00A029D7">
        <w:t>Daily Living Activities (DLA-20)</w:t>
      </w:r>
    </w:p>
    <w:tbl>
      <w:tblPr>
        <w:tblStyle w:val="TableGrid"/>
        <w:tblW w:w="0" w:type="auto"/>
        <w:tblLook w:val="04A0" w:firstRow="1" w:lastRow="0" w:firstColumn="1" w:lastColumn="0" w:noHBand="0" w:noVBand="1"/>
      </w:tblPr>
      <w:tblGrid>
        <w:gridCol w:w="2718"/>
        <w:gridCol w:w="6858"/>
      </w:tblGrid>
      <w:tr w:rsidR="00AD706B" w:rsidRPr="00DD1C68" w:rsidTr="0011709A">
        <w:trPr>
          <w:tblHeader/>
        </w:trPr>
        <w:tc>
          <w:tcPr>
            <w:tcW w:w="2718" w:type="dxa"/>
            <w:shd w:val="clear" w:color="auto" w:fill="F2F2F2" w:themeFill="background1" w:themeFillShade="F2"/>
          </w:tcPr>
          <w:p w:rsidR="00AD706B" w:rsidRPr="00DD1C68" w:rsidRDefault="007C104F" w:rsidP="00A374B8">
            <w:pPr>
              <w:pStyle w:val="NoSpacing"/>
              <w:rPr>
                <w:rFonts w:cstheme="minorHAnsi"/>
                <w:b/>
              </w:rPr>
            </w:pPr>
            <w:r>
              <w:rPr>
                <w:rFonts w:cstheme="minorHAnsi"/>
                <w:b/>
              </w:rPr>
              <w:t>Tool</w:t>
            </w:r>
            <w:r w:rsidR="00AD706B" w:rsidRPr="00DD1C68">
              <w:rPr>
                <w:rFonts w:cstheme="minorHAnsi"/>
                <w:b/>
              </w:rPr>
              <w:t xml:space="preserve"> Title</w:t>
            </w:r>
          </w:p>
        </w:tc>
        <w:tc>
          <w:tcPr>
            <w:tcW w:w="6858" w:type="dxa"/>
            <w:shd w:val="clear" w:color="auto" w:fill="F2F2F2" w:themeFill="background1" w:themeFillShade="F2"/>
          </w:tcPr>
          <w:p w:rsidR="00AD706B" w:rsidRPr="00DD1C68" w:rsidRDefault="00EA4B83" w:rsidP="00DD1C68">
            <w:pPr>
              <w:spacing w:after="120"/>
              <w:rPr>
                <w:rFonts w:cstheme="minorHAnsi"/>
                <w:b/>
                <w:color w:val="595959" w:themeColor="text1" w:themeTint="A6"/>
              </w:rPr>
            </w:pPr>
            <w:r w:rsidRPr="00EA4B83">
              <w:rPr>
                <w:rFonts w:cstheme="minorHAnsi"/>
                <w:b/>
              </w:rPr>
              <w:t xml:space="preserve">IT-11.25:  </w:t>
            </w:r>
            <w:r w:rsidR="00A029D7">
              <w:rPr>
                <w:rFonts w:cstheme="minorHAnsi"/>
                <w:b/>
              </w:rPr>
              <w:t>Daily Living Activities</w:t>
            </w:r>
          </w:p>
        </w:tc>
      </w:tr>
      <w:tr w:rsidR="00AD706B" w:rsidRPr="00DD1C68" w:rsidTr="00A374B8">
        <w:tc>
          <w:tcPr>
            <w:tcW w:w="2718" w:type="dxa"/>
          </w:tcPr>
          <w:p w:rsidR="00AD706B" w:rsidRPr="00DD1C68" w:rsidRDefault="00AD706B" w:rsidP="00A374B8">
            <w:pPr>
              <w:pStyle w:val="NoSpacing"/>
              <w:rPr>
                <w:rFonts w:cstheme="minorHAnsi"/>
                <w:b/>
              </w:rPr>
            </w:pPr>
            <w:r w:rsidRPr="00DD1C68">
              <w:rPr>
                <w:rFonts w:cstheme="minorHAnsi"/>
                <w:b/>
              </w:rPr>
              <w:t>Description</w:t>
            </w:r>
          </w:p>
        </w:tc>
        <w:tc>
          <w:tcPr>
            <w:tcW w:w="6858" w:type="dxa"/>
          </w:tcPr>
          <w:p w:rsidR="00A029D7" w:rsidRPr="005A210A" w:rsidRDefault="005A210A" w:rsidP="005A210A">
            <w:pPr>
              <w:pStyle w:val="Default"/>
              <w:rPr>
                <w:rFonts w:asciiTheme="minorHAnsi" w:hAnsiTheme="minorHAnsi" w:cstheme="minorHAnsi"/>
                <w:color w:val="auto"/>
                <w:sz w:val="22"/>
                <w:szCs w:val="22"/>
              </w:rPr>
            </w:pPr>
            <w:r>
              <w:rPr>
                <w:rFonts w:asciiTheme="minorHAnsi" w:hAnsiTheme="minorHAnsi" w:cstheme="minorHAnsi"/>
                <w:sz w:val="22"/>
                <w:szCs w:val="22"/>
              </w:rPr>
              <w:t>DLA</w:t>
            </w:r>
            <w:r w:rsidR="00A029D7" w:rsidRPr="005A210A">
              <w:rPr>
                <w:rFonts w:asciiTheme="minorHAnsi" w:hAnsiTheme="minorHAnsi" w:cstheme="minorHAnsi"/>
                <w:sz w:val="22"/>
                <w:szCs w:val="22"/>
              </w:rPr>
              <w:t xml:space="preserve"> functional assessment tool is designed to assess what daily living areas are impacted by mental illness or disability. </w:t>
            </w:r>
            <w:r w:rsidR="00736B25" w:rsidRPr="005A210A">
              <w:rPr>
                <w:rFonts w:asciiTheme="minorHAnsi" w:hAnsiTheme="minorHAnsi" w:cstheme="minorHAnsi"/>
                <w:sz w:val="22"/>
                <w:szCs w:val="22"/>
              </w:rPr>
              <w:t>The assessment tool quickly identifies where outcomes are needed so clinicians can address those functional deficits on individualized service plans.</w:t>
            </w:r>
          </w:p>
          <w:p w:rsidR="00A029D7" w:rsidRPr="005A210A" w:rsidRDefault="00A029D7" w:rsidP="005A210A">
            <w:pPr>
              <w:spacing w:line="240" w:lineRule="auto"/>
              <w:rPr>
                <w:rFonts w:cstheme="minorHAnsi"/>
                <w:color w:val="000000"/>
              </w:rPr>
            </w:pPr>
            <w:r w:rsidRPr="005A210A">
              <w:rPr>
                <w:rFonts w:cstheme="minorHAnsi"/>
                <w:color w:val="000000"/>
              </w:rPr>
              <w:t>Intended to be used by all disabilities and ages.</w:t>
            </w:r>
            <w:r w:rsidR="005A210A">
              <w:rPr>
                <w:rFonts w:cstheme="minorHAnsi"/>
                <w:color w:val="000000"/>
              </w:rPr>
              <w:t xml:space="preserve"> </w:t>
            </w:r>
            <w:r w:rsidRPr="005A210A">
              <w:rPr>
                <w:rFonts w:cstheme="minorHAnsi"/>
                <w:color w:val="000000"/>
              </w:rPr>
              <w:t>An Adult form exists for SMI and SPMI consumers over the age of 18.</w:t>
            </w:r>
            <w:r w:rsidR="005A210A">
              <w:rPr>
                <w:rFonts w:cstheme="minorHAnsi"/>
                <w:color w:val="000000"/>
              </w:rPr>
              <w:t xml:space="preserve"> </w:t>
            </w:r>
            <w:r w:rsidRPr="005A210A">
              <w:rPr>
                <w:rFonts w:cstheme="minorHAnsi"/>
                <w:color w:val="000000"/>
              </w:rPr>
              <w:t>A youth form is available for consumers between the ages of 6 and 18.</w:t>
            </w:r>
          </w:p>
          <w:p w:rsidR="00AD706B" w:rsidRPr="00DD1C68" w:rsidRDefault="00AD706B" w:rsidP="00DA1196">
            <w:pPr>
              <w:pStyle w:val="Default"/>
              <w:rPr>
                <w:rFonts w:asciiTheme="minorHAnsi" w:hAnsiTheme="minorHAnsi" w:cstheme="minorHAnsi"/>
                <w:color w:val="auto"/>
                <w:sz w:val="22"/>
                <w:szCs w:val="22"/>
              </w:rPr>
            </w:pPr>
          </w:p>
        </w:tc>
      </w:tr>
      <w:tr w:rsidR="000D28C2" w:rsidRPr="00DD1C68" w:rsidTr="00A374B8">
        <w:tc>
          <w:tcPr>
            <w:tcW w:w="2718" w:type="dxa"/>
          </w:tcPr>
          <w:p w:rsidR="000D28C2" w:rsidRPr="00DD1C68" w:rsidRDefault="000D28C2" w:rsidP="003E7258">
            <w:pPr>
              <w:pStyle w:val="NoSpacing"/>
              <w:rPr>
                <w:rFonts w:cstheme="minorHAnsi"/>
                <w:b/>
              </w:rPr>
            </w:pPr>
            <w:r w:rsidRPr="00DD1C68">
              <w:rPr>
                <w:rFonts w:cstheme="minorHAnsi"/>
                <w:b/>
              </w:rPr>
              <w:t>Setting</w:t>
            </w:r>
          </w:p>
        </w:tc>
        <w:tc>
          <w:tcPr>
            <w:tcW w:w="6858" w:type="dxa"/>
          </w:tcPr>
          <w:p w:rsidR="000D28C2" w:rsidRPr="00DD1C68" w:rsidRDefault="00736B25" w:rsidP="003E7258">
            <w:pPr>
              <w:pStyle w:val="NoSpacing"/>
              <w:rPr>
                <w:rFonts w:cstheme="minorHAnsi"/>
              </w:rPr>
            </w:pPr>
            <w:r>
              <w:t>Multiple</w:t>
            </w:r>
          </w:p>
        </w:tc>
      </w:tr>
      <w:tr w:rsidR="000D28C2" w:rsidRPr="00DD1C68" w:rsidTr="00A374B8">
        <w:tc>
          <w:tcPr>
            <w:tcW w:w="2718" w:type="dxa"/>
          </w:tcPr>
          <w:p w:rsidR="000D28C2" w:rsidRPr="00DD1C68" w:rsidRDefault="000D28C2" w:rsidP="00A374B8">
            <w:pPr>
              <w:pStyle w:val="NoSpacing"/>
              <w:rPr>
                <w:rFonts w:cstheme="minorHAnsi"/>
                <w:b/>
              </w:rPr>
            </w:pPr>
            <w:r w:rsidRPr="00DD1C68">
              <w:rPr>
                <w:rFonts w:cstheme="minorHAnsi"/>
                <w:b/>
              </w:rPr>
              <w:t>NQF Number</w:t>
            </w:r>
          </w:p>
        </w:tc>
        <w:tc>
          <w:tcPr>
            <w:tcW w:w="6858" w:type="dxa"/>
          </w:tcPr>
          <w:p w:rsidR="000D28C2" w:rsidRPr="00736B25" w:rsidRDefault="00736B25" w:rsidP="007C104F">
            <w:pPr>
              <w:pStyle w:val="NoSpacing"/>
              <w:rPr>
                <w:rFonts w:cstheme="minorHAnsi"/>
                <w:i/>
              </w:rPr>
            </w:pPr>
            <w:r>
              <w:rPr>
                <w:rFonts w:cstheme="minorHAnsi"/>
                <w:i/>
              </w:rPr>
              <w:t>None</w:t>
            </w:r>
          </w:p>
        </w:tc>
      </w:tr>
      <w:tr w:rsidR="000D28C2" w:rsidRPr="00DD1C68" w:rsidTr="00A374B8">
        <w:tc>
          <w:tcPr>
            <w:tcW w:w="2718" w:type="dxa"/>
          </w:tcPr>
          <w:p w:rsidR="000D28C2" w:rsidRPr="00DD1C68" w:rsidRDefault="000D28C2" w:rsidP="00A374B8">
            <w:pPr>
              <w:pStyle w:val="NoSpacing"/>
              <w:rPr>
                <w:rFonts w:cstheme="minorHAnsi"/>
                <w:b/>
              </w:rPr>
            </w:pPr>
            <w:r w:rsidRPr="00DD1C68">
              <w:rPr>
                <w:rFonts w:cstheme="minorHAnsi"/>
                <w:b/>
              </w:rPr>
              <w:t>Measure Steward</w:t>
            </w:r>
            <w:r w:rsidR="00AF3F76">
              <w:rPr>
                <w:rFonts w:cstheme="minorHAnsi"/>
                <w:b/>
              </w:rPr>
              <w:t xml:space="preserve"> or Survey Developer</w:t>
            </w:r>
          </w:p>
        </w:tc>
        <w:tc>
          <w:tcPr>
            <w:tcW w:w="6858" w:type="dxa"/>
          </w:tcPr>
          <w:p w:rsidR="000D28C2" w:rsidRPr="00DD1C68" w:rsidRDefault="00736B25" w:rsidP="00DA1196">
            <w:pPr>
              <w:pStyle w:val="NoSpacing"/>
              <w:rPr>
                <w:rFonts w:cstheme="minorHAnsi"/>
              </w:rPr>
            </w:pPr>
            <w:proofErr w:type="spellStart"/>
            <w:r w:rsidRPr="00736B25">
              <w:rPr>
                <w:rFonts w:cstheme="minorHAnsi"/>
                <w:bCs/>
                <w:shd w:val="clear" w:color="auto" w:fill="FFFFFF"/>
              </w:rPr>
              <w:t>W.S.Presmanes</w:t>
            </w:r>
            <w:proofErr w:type="spellEnd"/>
            <w:r w:rsidRPr="00736B25">
              <w:rPr>
                <w:rFonts w:cstheme="minorHAnsi"/>
                <w:bCs/>
                <w:shd w:val="clear" w:color="auto" w:fill="FFFFFF"/>
              </w:rPr>
              <w:t xml:space="preserve">, M.A., M.Ed., and R.L. Scott, PhD. </w:t>
            </w:r>
          </w:p>
        </w:tc>
      </w:tr>
      <w:tr w:rsidR="000D28C2" w:rsidRPr="00DD1C68" w:rsidTr="00A374B8">
        <w:tc>
          <w:tcPr>
            <w:tcW w:w="2718" w:type="dxa"/>
          </w:tcPr>
          <w:p w:rsidR="000D28C2" w:rsidRPr="00DD1C68" w:rsidRDefault="000D28C2" w:rsidP="007C104F">
            <w:pPr>
              <w:pStyle w:val="NoSpacing"/>
              <w:rPr>
                <w:rFonts w:cstheme="minorHAnsi"/>
                <w:b/>
              </w:rPr>
            </w:pPr>
            <w:r w:rsidRPr="00DD1C68">
              <w:rPr>
                <w:rFonts w:cstheme="minorHAnsi"/>
                <w:b/>
              </w:rPr>
              <w:t xml:space="preserve">Link to </w:t>
            </w:r>
            <w:r w:rsidR="007C104F">
              <w:rPr>
                <w:rFonts w:cstheme="minorHAnsi"/>
                <w:b/>
              </w:rPr>
              <w:t>tool specifications</w:t>
            </w:r>
          </w:p>
        </w:tc>
        <w:tc>
          <w:tcPr>
            <w:tcW w:w="6858" w:type="dxa"/>
          </w:tcPr>
          <w:p w:rsidR="000D28C2" w:rsidRPr="00DD1C68" w:rsidRDefault="000D28C2" w:rsidP="005A210A">
            <w:pPr>
              <w:rPr>
                <w:rFonts w:cstheme="minorHAnsi"/>
              </w:rPr>
            </w:pPr>
          </w:p>
        </w:tc>
      </w:tr>
      <w:tr w:rsidR="00DD1C68" w:rsidRPr="00DD1C68" w:rsidTr="00A374B8">
        <w:tc>
          <w:tcPr>
            <w:tcW w:w="2718" w:type="dxa"/>
          </w:tcPr>
          <w:p w:rsidR="00DD1C68" w:rsidRPr="00DD1C68" w:rsidRDefault="00DD1C68" w:rsidP="001401D3">
            <w:pPr>
              <w:pStyle w:val="NoSpacing"/>
              <w:rPr>
                <w:rFonts w:cstheme="minorHAnsi"/>
                <w:b/>
              </w:rPr>
            </w:pPr>
            <w:r>
              <w:rPr>
                <w:rFonts w:cstheme="minorHAnsi"/>
                <w:b/>
              </w:rPr>
              <w:t>Link to survey</w:t>
            </w:r>
          </w:p>
        </w:tc>
        <w:tc>
          <w:tcPr>
            <w:tcW w:w="6858" w:type="dxa"/>
          </w:tcPr>
          <w:p w:rsidR="00DD1C68" w:rsidRDefault="00736B25" w:rsidP="00AD706B">
            <w:pPr>
              <w:pStyle w:val="NoSpacing"/>
              <w:rPr>
                <w:rFonts w:cstheme="minorHAnsi"/>
              </w:rPr>
            </w:pPr>
            <w:r>
              <w:rPr>
                <w:rFonts w:cstheme="minorHAnsi"/>
              </w:rPr>
              <w:t xml:space="preserve">Adult: </w:t>
            </w:r>
            <w:hyperlink r:id="rId9" w:history="1">
              <w:r w:rsidR="005A210A" w:rsidRPr="00532BC3">
                <w:rPr>
                  <w:rStyle w:val="Hyperlink"/>
                  <w:rFonts w:cstheme="minorHAnsi"/>
                </w:rPr>
                <w:t>http://www.thenationalcouncil.org/galleries/resources-services%20files/DLA%20Sample.pdf</w:t>
              </w:r>
            </w:hyperlink>
            <w:r w:rsidR="005A210A">
              <w:rPr>
                <w:rFonts w:cstheme="minorHAnsi"/>
              </w:rPr>
              <w:t xml:space="preserve"> </w:t>
            </w:r>
          </w:p>
          <w:p w:rsidR="00736B25" w:rsidRPr="00DD1C68" w:rsidRDefault="00736B25" w:rsidP="00AD706B">
            <w:pPr>
              <w:pStyle w:val="NoSpacing"/>
              <w:rPr>
                <w:rFonts w:cstheme="minorHAnsi"/>
              </w:rPr>
            </w:pPr>
            <w:r>
              <w:rPr>
                <w:rFonts w:cstheme="minorHAnsi"/>
              </w:rPr>
              <w:t xml:space="preserve">Youth: </w:t>
            </w:r>
            <w:hyperlink r:id="rId10" w:history="1">
              <w:r w:rsidRPr="00743DAD">
                <w:rPr>
                  <w:rStyle w:val="Hyperlink"/>
                  <w:rFonts w:cstheme="minorHAnsi"/>
                </w:rPr>
                <w:t>http://dmh.mo.gov/docs/mentalillness/DLA20Youth.pdf</w:t>
              </w:r>
            </w:hyperlink>
            <w:r>
              <w:rPr>
                <w:rFonts w:cstheme="minorHAnsi"/>
              </w:rPr>
              <w:t xml:space="preserve"> </w:t>
            </w:r>
          </w:p>
        </w:tc>
      </w:tr>
      <w:tr w:rsidR="000D28C2" w:rsidRPr="00DD1C68" w:rsidTr="00A374B8">
        <w:tc>
          <w:tcPr>
            <w:tcW w:w="2718" w:type="dxa"/>
          </w:tcPr>
          <w:p w:rsidR="000D28C2" w:rsidRPr="00DD1C68" w:rsidRDefault="000D28C2" w:rsidP="007F1266">
            <w:pPr>
              <w:pStyle w:val="NoSpacing"/>
              <w:rPr>
                <w:rFonts w:cstheme="minorHAnsi"/>
                <w:b/>
              </w:rPr>
            </w:pPr>
            <w:r w:rsidRPr="00DD1C68">
              <w:rPr>
                <w:rFonts w:cstheme="minorHAnsi"/>
                <w:b/>
              </w:rPr>
              <w:t xml:space="preserve">Measure </w:t>
            </w:r>
            <w:r w:rsidR="007F1266">
              <w:rPr>
                <w:rFonts w:cstheme="minorHAnsi"/>
                <w:b/>
              </w:rPr>
              <w:t>t</w:t>
            </w:r>
            <w:r w:rsidRPr="00DD1C68">
              <w:rPr>
                <w:rFonts w:cstheme="minorHAnsi"/>
                <w:b/>
              </w:rPr>
              <w:t>ype</w:t>
            </w:r>
          </w:p>
        </w:tc>
        <w:tc>
          <w:tcPr>
            <w:tcW w:w="6858" w:type="dxa"/>
          </w:tcPr>
          <w:p w:rsidR="000D28C2" w:rsidRPr="00DD1C68" w:rsidRDefault="000D28C2" w:rsidP="00AD706B">
            <w:pPr>
              <w:pStyle w:val="NoSpacing"/>
              <w:rPr>
                <w:rFonts w:cstheme="minorHAnsi"/>
              </w:rPr>
            </w:pPr>
            <w:r w:rsidRPr="00DD1C68">
              <w:rPr>
                <w:rFonts w:cstheme="minorHAnsi"/>
              </w:rPr>
              <w:t>Standalone</w:t>
            </w:r>
          </w:p>
        </w:tc>
      </w:tr>
      <w:tr w:rsidR="00EA4B83" w:rsidRPr="00DD1C68" w:rsidTr="00A374B8">
        <w:tc>
          <w:tcPr>
            <w:tcW w:w="2718" w:type="dxa"/>
          </w:tcPr>
          <w:p w:rsidR="00EA4B83" w:rsidRPr="00DD1C68" w:rsidRDefault="00EA4B83" w:rsidP="007F1266">
            <w:pPr>
              <w:pStyle w:val="NoSpacing"/>
              <w:rPr>
                <w:rFonts w:cstheme="minorHAnsi"/>
                <w:b/>
              </w:rPr>
            </w:pPr>
            <w:r w:rsidRPr="004C4E93">
              <w:rPr>
                <w:b/>
              </w:rPr>
              <w:t>Performance and Achievement Type</w:t>
            </w:r>
          </w:p>
        </w:tc>
        <w:tc>
          <w:tcPr>
            <w:tcW w:w="6858" w:type="dxa"/>
          </w:tcPr>
          <w:p w:rsidR="00EA4B83" w:rsidRPr="004C4E93" w:rsidRDefault="00EA4B83" w:rsidP="004F0E51">
            <w:pPr>
              <w:pStyle w:val="NoSpacing"/>
            </w:pPr>
            <w:r w:rsidRPr="004C4E93">
              <w:t>Pay for Reporting (P4R)</w:t>
            </w:r>
          </w:p>
          <w:p w:rsidR="00EA4B83" w:rsidRPr="004C4E93" w:rsidRDefault="00EA4B83" w:rsidP="004F0E51">
            <w:pPr>
              <w:pStyle w:val="NoSpacing"/>
            </w:pPr>
          </w:p>
          <w:p w:rsidR="00EA4B83" w:rsidRPr="004C4E93" w:rsidRDefault="00EA4B83" w:rsidP="004F0E51">
            <w:pPr>
              <w:pStyle w:val="NoSpacing"/>
              <w:rPr>
                <w:rFonts w:cstheme="minorHAnsi"/>
              </w:rPr>
            </w:pPr>
            <w:r w:rsidRPr="004C4E93">
              <w:rPr>
                <w:rFonts w:cstheme="minorHAnsi"/>
              </w:rPr>
              <w:t>Providers will report their baseline, DY4, and DY5 results using one of the following three scenarios. Providers will report which scenario has been selected as part of their survey administration description supporting documentation required for baseline reporting.  Providers may not switch between scenarios in subsequent measurement years.</w:t>
            </w:r>
          </w:p>
          <w:p w:rsidR="00EA4B83" w:rsidRPr="004C4E93" w:rsidRDefault="00EA4B83" w:rsidP="004F0E51">
            <w:pPr>
              <w:pStyle w:val="NoSpacing"/>
              <w:rPr>
                <w:rFonts w:cstheme="minorHAnsi"/>
              </w:rPr>
            </w:pPr>
          </w:p>
          <w:p w:rsidR="00EA4B83" w:rsidRPr="004C4E93" w:rsidRDefault="00EA4B83" w:rsidP="004F0E51">
            <w:pPr>
              <w:pStyle w:val="NoSpacing"/>
              <w:rPr>
                <w:rFonts w:cstheme="minorHAnsi"/>
              </w:rPr>
            </w:pPr>
            <w:r w:rsidRPr="004C4E93">
              <w:rPr>
                <w:rFonts w:cstheme="minorHAnsi"/>
              </w:rPr>
              <w:t>Scenario 1: Baseline includes pre and posttest scores</w:t>
            </w:r>
          </w:p>
          <w:p w:rsidR="00EA4B83" w:rsidRPr="004C4E93" w:rsidRDefault="00EA4B83" w:rsidP="00EA4B83">
            <w:pPr>
              <w:pStyle w:val="ListParagraph"/>
              <w:numPr>
                <w:ilvl w:val="0"/>
                <w:numId w:val="11"/>
              </w:numPr>
              <w:rPr>
                <w:rFonts w:asciiTheme="minorHAnsi" w:hAnsiTheme="minorHAnsi" w:cstheme="minorHAnsi"/>
                <w:sz w:val="22"/>
              </w:rPr>
            </w:pPr>
            <w:r w:rsidRPr="004C4E93">
              <w:rPr>
                <w:rFonts w:asciiTheme="minorHAnsi" w:hAnsiTheme="minorHAnsi" w:cs="Arial"/>
                <w:sz w:val="22"/>
              </w:rPr>
              <w:t xml:space="preserve">In DY3, providers will report the average pretest score of all individuals who </w:t>
            </w:r>
            <w:r>
              <w:rPr>
                <w:rFonts w:asciiTheme="minorHAnsi" w:hAnsiTheme="minorHAnsi" w:cs="Arial"/>
                <w:sz w:val="22"/>
              </w:rPr>
              <w:t>complete</w:t>
            </w:r>
            <w:r w:rsidRPr="004C4E93">
              <w:rPr>
                <w:rFonts w:asciiTheme="minorHAnsi" w:hAnsiTheme="minorHAnsi" w:cs="Arial"/>
                <w:sz w:val="22"/>
              </w:rPr>
              <w:t xml:space="preserve"> at least two surveys (pretest and posttest) since the beginning of DY1, with the most recent posttest survey completed during the baseline measurement period, AND the average most recent score of all individuals who completed at least two surveys (pretest and posttest) with the most recent posttest survey completed during baseline measurement period. In DY4 and DY5, providers will report the average most recent posttest score of individuals who completed at least two surveys (pretest and posttest) since the beginning of the baseline measurement period and whose most recent survey was completed during the measurement year. </w:t>
            </w:r>
          </w:p>
          <w:p w:rsidR="00EA4B83" w:rsidRPr="004C4E93" w:rsidRDefault="00EA4B83" w:rsidP="004F0E51">
            <w:pPr>
              <w:pStyle w:val="ListParagraph"/>
              <w:rPr>
                <w:rFonts w:asciiTheme="minorHAnsi" w:hAnsiTheme="minorHAnsi" w:cstheme="minorHAnsi"/>
                <w:sz w:val="22"/>
              </w:rPr>
            </w:pPr>
          </w:p>
          <w:p w:rsidR="00EA4B83" w:rsidRPr="004C4E93" w:rsidRDefault="00EA4B83" w:rsidP="004F0E51">
            <w:pPr>
              <w:pStyle w:val="NoSpacing"/>
              <w:rPr>
                <w:rFonts w:cstheme="minorHAnsi"/>
              </w:rPr>
            </w:pPr>
            <w:r w:rsidRPr="004C4E93">
              <w:rPr>
                <w:rFonts w:cstheme="minorHAnsi"/>
              </w:rPr>
              <w:t>Scenario 2: Baseline includes pretest scores only</w:t>
            </w:r>
          </w:p>
          <w:p w:rsidR="00EA4B83" w:rsidRPr="004C4E93" w:rsidRDefault="00EA4B83" w:rsidP="00EA4B83">
            <w:pPr>
              <w:pStyle w:val="NoSpacing"/>
              <w:numPr>
                <w:ilvl w:val="0"/>
                <w:numId w:val="11"/>
              </w:numPr>
              <w:rPr>
                <w:rFonts w:cstheme="minorHAnsi"/>
              </w:rPr>
            </w:pPr>
            <w:r w:rsidRPr="004C4E93">
              <w:rPr>
                <w:rFonts w:cstheme="minorHAnsi"/>
              </w:rPr>
              <w:t xml:space="preserve">In DY3, provider will report the average pretest score for all pretests completed during the measurement year. In DY4 and </w:t>
            </w:r>
            <w:r w:rsidRPr="004C4E93">
              <w:rPr>
                <w:rFonts w:cstheme="minorHAnsi"/>
              </w:rPr>
              <w:lastRenderedPageBreak/>
              <w:t xml:space="preserve">DY5, provider will report the average most recent posttest score of individuals who completed at least two surveys (pretest and posttest) since the beginning of baseline reporting, with the most recent posttest survey completed during the measurement year. </w:t>
            </w:r>
          </w:p>
          <w:p w:rsidR="00EA4B83" w:rsidRPr="004C4E93" w:rsidRDefault="00EA4B83" w:rsidP="004F0E51">
            <w:pPr>
              <w:pStyle w:val="NoSpacing"/>
              <w:tabs>
                <w:tab w:val="left" w:pos="2805"/>
              </w:tabs>
              <w:ind w:left="720"/>
              <w:rPr>
                <w:rFonts w:cstheme="minorHAnsi"/>
              </w:rPr>
            </w:pPr>
            <w:r>
              <w:rPr>
                <w:rFonts w:cstheme="minorHAnsi"/>
              </w:rPr>
              <w:tab/>
            </w:r>
          </w:p>
          <w:p w:rsidR="00EA4B83" w:rsidRPr="004C4E93" w:rsidRDefault="00EA4B83" w:rsidP="004F0E51">
            <w:pPr>
              <w:pStyle w:val="NoSpacing"/>
              <w:rPr>
                <w:rFonts w:cstheme="minorHAnsi"/>
              </w:rPr>
            </w:pPr>
            <w:r w:rsidRPr="004C4E93">
              <w:rPr>
                <w:rFonts w:cstheme="minorHAnsi"/>
              </w:rPr>
              <w:t>Scenario 3: No pre/post testing methodology</w:t>
            </w:r>
          </w:p>
          <w:p w:rsidR="00EA4B83" w:rsidRPr="004C4E93" w:rsidRDefault="00EA4B83" w:rsidP="00EA4B83">
            <w:pPr>
              <w:pStyle w:val="NoSpacing"/>
              <w:numPr>
                <w:ilvl w:val="0"/>
                <w:numId w:val="11"/>
              </w:numPr>
              <w:rPr>
                <w:rFonts w:cstheme="minorHAnsi"/>
              </w:rPr>
            </w:pPr>
            <w:r w:rsidRPr="004C4E93">
              <w:rPr>
                <w:rFonts w:cstheme="minorHAnsi"/>
              </w:rPr>
              <w:t xml:space="preserve">In DY3-5, provider will report the average score of all surveys completed during the measurement year. </w:t>
            </w:r>
          </w:p>
          <w:p w:rsidR="00EA4B83" w:rsidRPr="004C4E93" w:rsidRDefault="00EA4B83" w:rsidP="004F0E51">
            <w:pPr>
              <w:pStyle w:val="NoSpacing"/>
              <w:rPr>
                <w:rFonts w:cstheme="minorHAnsi"/>
              </w:rPr>
            </w:pPr>
          </w:p>
          <w:p w:rsidR="00EA4B83" w:rsidRPr="004C4E93" w:rsidRDefault="00EA4B83" w:rsidP="004F0E51">
            <w:pPr>
              <w:pStyle w:val="NoSpacing"/>
              <w:rPr>
                <w:rFonts w:cstheme="minorHAnsi"/>
              </w:rPr>
            </w:pPr>
            <w:r w:rsidRPr="004C4E93">
              <w:t xml:space="preserve">For guidance on reporting selected scenarios, providers should follow the instructions contained in the “Reporting </w:t>
            </w:r>
            <w:r>
              <w:t>Guidelines for Pre and Postt</w:t>
            </w:r>
            <w:r w:rsidRPr="004C4E93">
              <w:t xml:space="preserve">est Tools” </w:t>
            </w:r>
            <w:r>
              <w:t xml:space="preserve">document located </w:t>
            </w:r>
            <w:r w:rsidRPr="008815CC">
              <w:t xml:space="preserve">on the </w:t>
            </w:r>
            <w:hyperlink r:id="rId11" w:history="1">
              <w:r w:rsidRPr="008815CC">
                <w:rPr>
                  <w:rStyle w:val="Hyperlink"/>
                </w:rPr>
                <w:t>Tools and Guidelines for Regional Healthcare Partnership Participants</w:t>
              </w:r>
            </w:hyperlink>
            <w:r w:rsidRPr="008815CC">
              <w:t xml:space="preserve"> page under Category 3.</w:t>
            </w:r>
          </w:p>
          <w:p w:rsidR="00EA4B83" w:rsidRDefault="00EA4B83" w:rsidP="00F501CB">
            <w:pPr>
              <w:pStyle w:val="NoSpacing"/>
            </w:pPr>
          </w:p>
        </w:tc>
      </w:tr>
      <w:tr w:rsidR="00DD1C68" w:rsidRPr="00DD1C68" w:rsidTr="00A374B8">
        <w:tc>
          <w:tcPr>
            <w:tcW w:w="2718" w:type="dxa"/>
          </w:tcPr>
          <w:p w:rsidR="00DD1C68" w:rsidRPr="00DD1C68" w:rsidRDefault="00DD1C68" w:rsidP="0027019B">
            <w:pPr>
              <w:pStyle w:val="NoSpacing"/>
              <w:rPr>
                <w:rFonts w:cstheme="minorHAnsi"/>
                <w:b/>
              </w:rPr>
            </w:pPr>
            <w:r w:rsidRPr="00DD1C68">
              <w:rPr>
                <w:rFonts w:cstheme="minorHAnsi"/>
                <w:b/>
              </w:rPr>
              <w:lastRenderedPageBreak/>
              <w:t>Administration</w:t>
            </w:r>
            <w:r w:rsidR="0027019B">
              <w:rPr>
                <w:rFonts w:cstheme="minorHAnsi"/>
                <w:b/>
              </w:rPr>
              <w:t>:</w:t>
            </w:r>
          </w:p>
        </w:tc>
        <w:tc>
          <w:tcPr>
            <w:tcW w:w="6858" w:type="dxa"/>
          </w:tcPr>
          <w:p w:rsidR="00DD1C68" w:rsidRPr="00736B25" w:rsidRDefault="0027019B" w:rsidP="00A029D7">
            <w:pPr>
              <w:pStyle w:val="NoSpacing"/>
              <w:rPr>
                <w:rFonts w:cstheme="minorHAnsi"/>
              </w:rPr>
            </w:pPr>
            <w:r>
              <w:rPr>
                <w:rFonts w:cstheme="minorHAnsi"/>
                <w:b/>
              </w:rPr>
              <w:t>Mode</w:t>
            </w:r>
            <w:r w:rsidR="00DD1C68" w:rsidRPr="00DD1C68">
              <w:rPr>
                <w:rFonts w:cstheme="minorHAnsi"/>
                <w:b/>
              </w:rPr>
              <w:t>:</w:t>
            </w:r>
            <w:r w:rsidR="00736B25">
              <w:rPr>
                <w:rFonts w:cstheme="minorHAnsi"/>
                <w:b/>
              </w:rPr>
              <w:t xml:space="preserve"> </w:t>
            </w:r>
            <w:r w:rsidR="00587099">
              <w:rPr>
                <w:rFonts w:cstheme="minorHAnsi"/>
              </w:rPr>
              <w:t>Trained p</w:t>
            </w:r>
            <w:r w:rsidR="00736B25" w:rsidRPr="00587099">
              <w:rPr>
                <w:rFonts w:cstheme="minorHAnsi"/>
              </w:rPr>
              <w:t>sychiatrists</w:t>
            </w:r>
            <w:r w:rsidR="00736B25" w:rsidRPr="00A029D7">
              <w:rPr>
                <w:rFonts w:cstheme="minorHAnsi"/>
              </w:rPr>
              <w:t xml:space="preserve">, clinicians, case managers, quality assurance officers, </w:t>
            </w:r>
            <w:r w:rsidR="00587099">
              <w:rPr>
                <w:rFonts w:cstheme="minorHAnsi"/>
              </w:rPr>
              <w:t xml:space="preserve">and </w:t>
            </w:r>
            <w:r w:rsidR="00736B25" w:rsidRPr="00A029D7">
              <w:rPr>
                <w:rFonts w:cstheme="minorHAnsi"/>
              </w:rPr>
              <w:t>human resource trainers may administer</w:t>
            </w:r>
            <w:r w:rsidR="00587099">
              <w:rPr>
                <w:rFonts w:cstheme="minorHAnsi"/>
              </w:rPr>
              <w:t xml:space="preserve"> the survey</w:t>
            </w:r>
          </w:p>
          <w:p w:rsidR="00DD1C68" w:rsidRPr="00DD1C68" w:rsidRDefault="007C104F" w:rsidP="00953EC0">
            <w:pPr>
              <w:pStyle w:val="NoSpacing"/>
              <w:rPr>
                <w:rFonts w:cstheme="minorHAnsi"/>
                <w:b/>
              </w:rPr>
            </w:pPr>
            <w:r>
              <w:rPr>
                <w:rFonts w:cstheme="minorHAnsi"/>
                <w:b/>
              </w:rPr>
              <w:t xml:space="preserve">Administration </w:t>
            </w:r>
            <w:r w:rsidR="00DD1C68" w:rsidRPr="00DD1C68">
              <w:rPr>
                <w:rFonts w:cstheme="minorHAnsi"/>
                <w:b/>
              </w:rPr>
              <w:t>Time:</w:t>
            </w:r>
            <w:r w:rsidR="00736B25">
              <w:rPr>
                <w:rFonts w:cstheme="minorHAnsi"/>
                <w:b/>
              </w:rPr>
              <w:t xml:space="preserve"> 6 - 10 minutes</w:t>
            </w:r>
          </w:p>
          <w:p w:rsidR="00DD1C68" w:rsidRPr="00587099" w:rsidRDefault="00DD1C68" w:rsidP="00953EC0">
            <w:pPr>
              <w:pStyle w:val="NoSpacing"/>
              <w:rPr>
                <w:rFonts w:cstheme="minorHAnsi"/>
              </w:rPr>
            </w:pPr>
            <w:r w:rsidRPr="00DD1C68">
              <w:rPr>
                <w:rFonts w:cstheme="minorHAnsi"/>
                <w:b/>
              </w:rPr>
              <w:t xml:space="preserve">Language: </w:t>
            </w:r>
            <w:r w:rsidR="00587099">
              <w:rPr>
                <w:rFonts w:cstheme="minorHAnsi"/>
              </w:rPr>
              <w:t>English</w:t>
            </w:r>
          </w:p>
          <w:p w:rsidR="00DD1C68" w:rsidRPr="00736B25" w:rsidRDefault="00DD1C68" w:rsidP="00953EC0">
            <w:pPr>
              <w:pStyle w:val="NoSpacing"/>
              <w:rPr>
                <w:rFonts w:cstheme="minorHAnsi"/>
              </w:rPr>
            </w:pPr>
            <w:r>
              <w:rPr>
                <w:rFonts w:cstheme="minorHAnsi"/>
                <w:b/>
              </w:rPr>
              <w:t>Cost:</w:t>
            </w:r>
            <w:r w:rsidR="00736B25">
              <w:rPr>
                <w:rFonts w:cstheme="minorHAnsi"/>
                <w:b/>
              </w:rPr>
              <w:t xml:space="preserve"> </w:t>
            </w:r>
            <w:r w:rsidR="00587099" w:rsidRPr="00587099">
              <w:rPr>
                <w:rFonts w:cstheme="minorHAnsi"/>
              </w:rPr>
              <w:t>The DLA-20 is a copyrighted tool available for free use after a 3.5 hour training delivered via webinar by MTM Services and the National Council.</w:t>
            </w:r>
          </w:p>
        </w:tc>
      </w:tr>
      <w:tr w:rsidR="00AF3F76" w:rsidRPr="00DD1C68" w:rsidTr="00A374B8">
        <w:tc>
          <w:tcPr>
            <w:tcW w:w="2718" w:type="dxa"/>
          </w:tcPr>
          <w:p w:rsidR="00AF3F76" w:rsidRPr="00DD1C68" w:rsidRDefault="00AF3F76" w:rsidP="007F1266">
            <w:pPr>
              <w:pStyle w:val="NoSpacing"/>
              <w:rPr>
                <w:rFonts w:cstheme="minorHAnsi"/>
                <w:b/>
              </w:rPr>
            </w:pPr>
            <w:r>
              <w:rPr>
                <w:rFonts w:cstheme="minorHAnsi"/>
                <w:b/>
              </w:rPr>
              <w:t>Scoring</w:t>
            </w:r>
          </w:p>
        </w:tc>
        <w:tc>
          <w:tcPr>
            <w:tcW w:w="6858" w:type="dxa"/>
          </w:tcPr>
          <w:p w:rsidR="00736B25" w:rsidRPr="00736B25" w:rsidRDefault="00736B25" w:rsidP="00736B25">
            <w:pPr>
              <w:pStyle w:val="NoSpacing"/>
              <w:rPr>
                <w:rFonts w:cstheme="minorHAnsi"/>
              </w:rPr>
            </w:pPr>
            <w:r w:rsidRPr="00736B25">
              <w:rPr>
                <w:rFonts w:cstheme="minorHAnsi"/>
              </w:rPr>
              <w:t>If all 20 DLAs are rated, sum column and take ½ for estimated CGAS or</w:t>
            </w:r>
          </w:p>
          <w:p w:rsidR="00355A07" w:rsidRDefault="00355A07" w:rsidP="00736B25">
            <w:pPr>
              <w:pStyle w:val="NoSpacing"/>
              <w:rPr>
                <w:rFonts w:cstheme="minorHAnsi"/>
              </w:rPr>
            </w:pPr>
          </w:p>
          <w:p w:rsidR="00736B25" w:rsidRPr="00736B25" w:rsidRDefault="00736B25" w:rsidP="00736B25">
            <w:pPr>
              <w:pStyle w:val="NoSpacing"/>
              <w:rPr>
                <w:rFonts w:cstheme="minorHAnsi"/>
              </w:rPr>
            </w:pPr>
            <w:r w:rsidRPr="00736B25">
              <w:rPr>
                <w:rFonts w:cstheme="minorHAnsi"/>
              </w:rPr>
              <w:t>Step 1. Add scores from applicable column.</w:t>
            </w:r>
          </w:p>
          <w:p w:rsidR="00355A07" w:rsidRDefault="00355A07" w:rsidP="00736B25">
            <w:pPr>
              <w:pStyle w:val="NoSpacing"/>
              <w:rPr>
                <w:rFonts w:cstheme="minorHAnsi"/>
              </w:rPr>
            </w:pPr>
          </w:p>
          <w:p w:rsidR="00736B25" w:rsidRPr="00736B25" w:rsidRDefault="00736B25" w:rsidP="00736B25">
            <w:pPr>
              <w:pStyle w:val="NoSpacing"/>
              <w:rPr>
                <w:rFonts w:cstheme="minorHAnsi"/>
              </w:rPr>
            </w:pPr>
            <w:r w:rsidRPr="00736B25">
              <w:rPr>
                <w:rFonts w:cstheme="minorHAnsi"/>
              </w:rPr>
              <w:t xml:space="preserve">Step 2. Divide sum by number of activities actually rated. This is the </w:t>
            </w:r>
            <w:r w:rsidRPr="005A210A">
              <w:rPr>
                <w:rFonts w:cstheme="minorHAnsi"/>
                <w:b/>
              </w:rPr>
              <w:t>average DLA score</w:t>
            </w:r>
            <w:r w:rsidRPr="00736B25">
              <w:rPr>
                <w:rFonts w:cstheme="minorHAnsi"/>
              </w:rPr>
              <w:t>.</w:t>
            </w:r>
          </w:p>
          <w:p w:rsidR="00355A07" w:rsidRDefault="00355A07" w:rsidP="00736B25">
            <w:pPr>
              <w:pStyle w:val="NoSpacing"/>
              <w:rPr>
                <w:rFonts w:cstheme="minorHAnsi"/>
              </w:rPr>
            </w:pPr>
          </w:p>
          <w:p w:rsidR="00736B25" w:rsidRPr="00736B25" w:rsidRDefault="00736B25" w:rsidP="00736B25">
            <w:pPr>
              <w:pStyle w:val="NoSpacing"/>
              <w:rPr>
                <w:rFonts w:cstheme="minorHAnsi"/>
              </w:rPr>
            </w:pPr>
            <w:r w:rsidRPr="00736B25">
              <w:rPr>
                <w:rFonts w:cstheme="minorHAnsi"/>
              </w:rPr>
              <w:t>Step 3. To estimate CGAS, multiply the average DLA score by 10. Compare to Axis V and Lower GAF if consumer is symptomatic.</w:t>
            </w:r>
          </w:p>
          <w:p w:rsidR="00355A07" w:rsidRDefault="00355A07" w:rsidP="00736B25">
            <w:pPr>
              <w:pStyle w:val="NoSpacing"/>
              <w:rPr>
                <w:rFonts w:cstheme="minorHAnsi"/>
              </w:rPr>
            </w:pPr>
          </w:p>
          <w:p w:rsidR="00736B25" w:rsidRDefault="00736B25" w:rsidP="00736B25">
            <w:pPr>
              <w:pStyle w:val="NoSpacing"/>
              <w:rPr>
                <w:rFonts w:cstheme="minorHAnsi"/>
              </w:rPr>
            </w:pPr>
            <w:r w:rsidRPr="00736B25">
              <w:rPr>
                <w:rFonts w:cstheme="minorHAnsi"/>
              </w:rPr>
              <w:t>Step 4. +/- Change Score: subtract initial average DLA score (R1) from most recent rating (R2-R5).</w:t>
            </w:r>
          </w:p>
          <w:p w:rsidR="00355A07" w:rsidRDefault="00355A07" w:rsidP="00A029D7">
            <w:pPr>
              <w:pStyle w:val="NoSpacing"/>
              <w:rPr>
                <w:rFonts w:cstheme="minorHAnsi"/>
              </w:rPr>
            </w:pPr>
          </w:p>
          <w:p w:rsidR="00A029D7" w:rsidRPr="00A029D7" w:rsidRDefault="00A029D7" w:rsidP="00A029D7">
            <w:pPr>
              <w:pStyle w:val="NoSpacing"/>
              <w:rPr>
                <w:rFonts w:cstheme="minorHAnsi"/>
              </w:rPr>
            </w:pPr>
            <w:r w:rsidRPr="00A029D7">
              <w:rPr>
                <w:rFonts w:cstheme="minorHAnsi"/>
              </w:rPr>
              <w:t xml:space="preserve">DLA score can be converted to the GAF (Global Assessment of Functioning). </w:t>
            </w:r>
          </w:p>
          <w:p w:rsidR="00A029D7" w:rsidRPr="00A029D7" w:rsidRDefault="00A029D7" w:rsidP="00A029D7">
            <w:pPr>
              <w:pStyle w:val="NoSpacing"/>
              <w:rPr>
                <w:rFonts w:cstheme="minorHAnsi"/>
              </w:rPr>
            </w:pPr>
            <w:r w:rsidRPr="00A029D7">
              <w:rPr>
                <w:rFonts w:cstheme="minorHAnsi"/>
              </w:rPr>
              <w:t>GFA scale:</w:t>
            </w:r>
          </w:p>
          <w:p w:rsidR="00A029D7" w:rsidRPr="00A029D7" w:rsidRDefault="00A029D7" w:rsidP="00A029D7">
            <w:pPr>
              <w:pStyle w:val="NoSpacing"/>
              <w:rPr>
                <w:rFonts w:cstheme="minorHAnsi"/>
              </w:rPr>
            </w:pPr>
            <w:r w:rsidRPr="00A029D7">
              <w:rPr>
                <w:rFonts w:cstheme="minorHAnsi"/>
              </w:rPr>
              <w:t xml:space="preserve">91 - 100 No symptoms. </w:t>
            </w:r>
          </w:p>
          <w:p w:rsidR="00A029D7" w:rsidRPr="00A029D7" w:rsidRDefault="00A029D7" w:rsidP="00A029D7">
            <w:pPr>
              <w:pStyle w:val="NoSpacing"/>
              <w:rPr>
                <w:rFonts w:cstheme="minorHAnsi"/>
              </w:rPr>
            </w:pPr>
            <w:r w:rsidRPr="00A029D7">
              <w:rPr>
                <w:rFonts w:cstheme="minorHAnsi"/>
              </w:rPr>
              <w:t xml:space="preserve">81 - 90 Absent or minimal symptoms </w:t>
            </w:r>
          </w:p>
          <w:p w:rsidR="00A029D7" w:rsidRPr="00A029D7" w:rsidRDefault="00A029D7" w:rsidP="00A029D7">
            <w:pPr>
              <w:pStyle w:val="NoSpacing"/>
              <w:rPr>
                <w:rFonts w:cstheme="minorHAnsi"/>
              </w:rPr>
            </w:pPr>
            <w:r w:rsidRPr="00A029D7">
              <w:rPr>
                <w:rFonts w:cstheme="minorHAnsi"/>
              </w:rPr>
              <w:t xml:space="preserve">71 - 80 If symptoms are present, they are transient </w:t>
            </w:r>
          </w:p>
          <w:p w:rsidR="00A029D7" w:rsidRPr="00A029D7" w:rsidRDefault="00A029D7" w:rsidP="00A029D7">
            <w:pPr>
              <w:pStyle w:val="NoSpacing"/>
              <w:rPr>
                <w:rFonts w:cstheme="minorHAnsi"/>
              </w:rPr>
            </w:pPr>
            <w:r w:rsidRPr="00A029D7">
              <w:rPr>
                <w:rFonts w:cstheme="minorHAnsi"/>
              </w:rPr>
              <w:t xml:space="preserve">61 - 70 Some mild symptoms </w:t>
            </w:r>
          </w:p>
          <w:p w:rsidR="00A029D7" w:rsidRPr="00A029D7" w:rsidRDefault="00A029D7" w:rsidP="00A029D7">
            <w:pPr>
              <w:pStyle w:val="NoSpacing"/>
              <w:rPr>
                <w:rFonts w:cstheme="minorHAnsi"/>
              </w:rPr>
            </w:pPr>
            <w:r w:rsidRPr="00A029D7">
              <w:rPr>
                <w:rFonts w:cstheme="minorHAnsi"/>
              </w:rPr>
              <w:t xml:space="preserve">51 - 60 Moderate symptoms </w:t>
            </w:r>
          </w:p>
          <w:p w:rsidR="00A029D7" w:rsidRPr="00A029D7" w:rsidRDefault="00A029D7" w:rsidP="00A029D7">
            <w:pPr>
              <w:pStyle w:val="NoSpacing"/>
              <w:rPr>
                <w:rFonts w:cstheme="minorHAnsi"/>
              </w:rPr>
            </w:pPr>
            <w:r w:rsidRPr="00A029D7">
              <w:rPr>
                <w:rFonts w:cstheme="minorHAnsi"/>
              </w:rPr>
              <w:t xml:space="preserve">41 - 50 Serious symptoms </w:t>
            </w:r>
          </w:p>
          <w:p w:rsidR="00A029D7" w:rsidRPr="00A029D7" w:rsidRDefault="00A029D7" w:rsidP="00A029D7">
            <w:pPr>
              <w:pStyle w:val="NoSpacing"/>
              <w:rPr>
                <w:rFonts w:cstheme="minorHAnsi"/>
              </w:rPr>
            </w:pPr>
            <w:r w:rsidRPr="00A029D7">
              <w:rPr>
                <w:rFonts w:cstheme="minorHAnsi"/>
              </w:rPr>
              <w:t>31 - 40 Some impairment</w:t>
            </w:r>
          </w:p>
          <w:p w:rsidR="00A029D7" w:rsidRPr="00A029D7" w:rsidRDefault="00A029D7" w:rsidP="00A029D7">
            <w:pPr>
              <w:pStyle w:val="NoSpacing"/>
              <w:rPr>
                <w:rFonts w:cstheme="minorHAnsi"/>
              </w:rPr>
            </w:pPr>
            <w:r w:rsidRPr="00A029D7">
              <w:rPr>
                <w:rFonts w:cstheme="minorHAnsi"/>
              </w:rPr>
              <w:t>21 - 30 Behavior is considerably influenced</w:t>
            </w:r>
          </w:p>
          <w:p w:rsidR="00A029D7" w:rsidRPr="00A029D7" w:rsidRDefault="00A029D7" w:rsidP="00A029D7">
            <w:pPr>
              <w:pStyle w:val="NoSpacing"/>
              <w:rPr>
                <w:rFonts w:cstheme="minorHAnsi"/>
              </w:rPr>
            </w:pPr>
            <w:r w:rsidRPr="00A029D7">
              <w:rPr>
                <w:rFonts w:cstheme="minorHAnsi"/>
              </w:rPr>
              <w:t xml:space="preserve">11 - 20 Some danger of hurting </w:t>
            </w:r>
          </w:p>
          <w:p w:rsidR="00AF3F76" w:rsidRDefault="00A029D7" w:rsidP="00A029D7">
            <w:pPr>
              <w:pStyle w:val="NoSpacing"/>
              <w:rPr>
                <w:rFonts w:cstheme="minorHAnsi"/>
              </w:rPr>
            </w:pPr>
            <w:r w:rsidRPr="00A029D7">
              <w:rPr>
                <w:rFonts w:cstheme="minorHAnsi"/>
              </w:rPr>
              <w:lastRenderedPageBreak/>
              <w:t xml:space="preserve"> 1 - 10 Per</w:t>
            </w:r>
            <w:r w:rsidR="00355A07">
              <w:rPr>
                <w:rFonts w:cstheme="minorHAnsi"/>
              </w:rPr>
              <w:t xml:space="preserve">sistent danger </w:t>
            </w:r>
          </w:p>
          <w:p w:rsidR="00355A07" w:rsidRPr="00DD1C68" w:rsidRDefault="00355A07" w:rsidP="00A029D7">
            <w:pPr>
              <w:pStyle w:val="NoSpacing"/>
              <w:rPr>
                <w:rFonts w:cstheme="minorHAnsi"/>
              </w:rPr>
            </w:pPr>
          </w:p>
        </w:tc>
      </w:tr>
      <w:tr w:rsidR="00DD1C68" w:rsidRPr="00DD1C68" w:rsidTr="00A374B8">
        <w:tc>
          <w:tcPr>
            <w:tcW w:w="2718" w:type="dxa"/>
          </w:tcPr>
          <w:p w:rsidR="00DD1C68" w:rsidRPr="00DD1C68" w:rsidRDefault="007C104F" w:rsidP="007F1266">
            <w:pPr>
              <w:pStyle w:val="NoSpacing"/>
              <w:rPr>
                <w:rFonts w:cstheme="minorHAnsi"/>
                <w:b/>
              </w:rPr>
            </w:pPr>
            <w:r>
              <w:rPr>
                <w:rFonts w:cstheme="minorHAnsi"/>
                <w:b/>
              </w:rPr>
              <w:lastRenderedPageBreak/>
              <w:t>Tool C</w:t>
            </w:r>
            <w:r w:rsidR="00DD1C68" w:rsidRPr="00DD1C68">
              <w:rPr>
                <w:rFonts w:cstheme="minorHAnsi"/>
                <w:b/>
              </w:rPr>
              <w:t>ontact</w:t>
            </w:r>
            <w:r>
              <w:rPr>
                <w:rFonts w:cstheme="minorHAnsi"/>
                <w:b/>
              </w:rPr>
              <w:t>s</w:t>
            </w:r>
          </w:p>
        </w:tc>
        <w:tc>
          <w:tcPr>
            <w:tcW w:w="6858" w:type="dxa"/>
          </w:tcPr>
          <w:p w:rsidR="00736B25" w:rsidRPr="00736B25" w:rsidRDefault="00736B25" w:rsidP="00736B25">
            <w:pPr>
              <w:pStyle w:val="NoSpacing"/>
              <w:rPr>
                <w:rFonts w:cstheme="minorHAnsi"/>
              </w:rPr>
            </w:pPr>
            <w:r w:rsidRPr="00736B25">
              <w:rPr>
                <w:rFonts w:cstheme="minorHAnsi"/>
              </w:rPr>
              <w:t>MTM Services</w:t>
            </w:r>
          </w:p>
          <w:p w:rsidR="00736B25" w:rsidRPr="00736B25" w:rsidRDefault="00736B25" w:rsidP="00736B25">
            <w:pPr>
              <w:pStyle w:val="NoSpacing"/>
              <w:rPr>
                <w:rFonts w:cstheme="minorHAnsi"/>
              </w:rPr>
            </w:pPr>
            <w:r w:rsidRPr="00736B25">
              <w:rPr>
                <w:rFonts w:cstheme="minorHAnsi"/>
              </w:rPr>
              <w:t xml:space="preserve">Willa </w:t>
            </w:r>
            <w:proofErr w:type="spellStart"/>
            <w:r w:rsidRPr="00736B25">
              <w:rPr>
                <w:rFonts w:cstheme="minorHAnsi"/>
              </w:rPr>
              <w:t>Presmanes</w:t>
            </w:r>
            <w:proofErr w:type="spellEnd"/>
            <w:r w:rsidRPr="00736B25">
              <w:rPr>
                <w:rFonts w:cstheme="minorHAnsi"/>
              </w:rPr>
              <w:t>, M.ED., MA</w:t>
            </w:r>
          </w:p>
          <w:p w:rsidR="00736B25" w:rsidRPr="00736B25" w:rsidRDefault="00736B25" w:rsidP="00736B25">
            <w:pPr>
              <w:pStyle w:val="NoSpacing"/>
              <w:rPr>
                <w:rFonts w:cstheme="minorHAnsi"/>
              </w:rPr>
            </w:pPr>
            <w:r w:rsidRPr="00736B25">
              <w:rPr>
                <w:rFonts w:cstheme="minorHAnsi"/>
              </w:rPr>
              <w:t>Senior Outcomes Consultant</w:t>
            </w:r>
          </w:p>
          <w:p w:rsidR="00736B25" w:rsidRPr="00736B25" w:rsidRDefault="00736B25" w:rsidP="00736B25">
            <w:pPr>
              <w:pStyle w:val="NoSpacing"/>
              <w:rPr>
                <w:rFonts w:cstheme="minorHAnsi"/>
              </w:rPr>
            </w:pPr>
            <w:r w:rsidRPr="00736B25">
              <w:rPr>
                <w:rFonts w:cstheme="minorHAnsi"/>
              </w:rPr>
              <w:t xml:space="preserve">Phone: (770) 396-6615 </w:t>
            </w:r>
          </w:p>
          <w:p w:rsidR="00736B25" w:rsidRPr="00736B25" w:rsidRDefault="00736B25" w:rsidP="00736B25">
            <w:pPr>
              <w:pStyle w:val="NoSpacing"/>
              <w:rPr>
                <w:rFonts w:cstheme="minorHAnsi"/>
              </w:rPr>
            </w:pPr>
            <w:r w:rsidRPr="00736B25">
              <w:rPr>
                <w:rFonts w:cstheme="minorHAnsi"/>
              </w:rPr>
              <w:t xml:space="preserve">E-mail: MTMWilla@aol.com </w:t>
            </w:r>
          </w:p>
          <w:p w:rsidR="00DD1C68" w:rsidRDefault="00736B25" w:rsidP="00736B25">
            <w:pPr>
              <w:pStyle w:val="NoSpacing"/>
              <w:rPr>
                <w:rFonts w:cstheme="minorHAnsi"/>
              </w:rPr>
            </w:pPr>
            <w:r w:rsidRPr="00736B25">
              <w:rPr>
                <w:rFonts w:cstheme="minorHAnsi"/>
              </w:rPr>
              <w:t xml:space="preserve">Website: </w:t>
            </w:r>
            <w:hyperlink r:id="rId12" w:history="1">
              <w:r w:rsidR="00355A07" w:rsidRPr="00743DAD">
                <w:rPr>
                  <w:rStyle w:val="Hyperlink"/>
                  <w:rFonts w:cstheme="minorHAnsi"/>
                </w:rPr>
                <w:t>http://www.mtmservices.org/</w:t>
              </w:r>
            </w:hyperlink>
          </w:p>
          <w:p w:rsidR="00355A07" w:rsidRPr="00DD1C68" w:rsidRDefault="00355A07" w:rsidP="00736B25">
            <w:pPr>
              <w:pStyle w:val="NoSpacing"/>
              <w:rPr>
                <w:rFonts w:cstheme="minorHAnsi"/>
              </w:rPr>
            </w:pPr>
          </w:p>
        </w:tc>
      </w:tr>
      <w:tr w:rsidR="00DD1C68" w:rsidRPr="00DD1C68" w:rsidTr="00A374B8">
        <w:tc>
          <w:tcPr>
            <w:tcW w:w="2718" w:type="dxa"/>
          </w:tcPr>
          <w:p w:rsidR="00DD1C68" w:rsidRPr="00DD1C68" w:rsidRDefault="00DD1C68" w:rsidP="00A374B8">
            <w:pPr>
              <w:pStyle w:val="NoSpacing"/>
              <w:rPr>
                <w:rFonts w:cstheme="minorHAnsi"/>
                <w:b/>
              </w:rPr>
            </w:pPr>
            <w:r w:rsidRPr="00DD1C68">
              <w:rPr>
                <w:rFonts w:cstheme="minorHAnsi"/>
                <w:b/>
              </w:rPr>
              <w:t>DSRIP-specific modifications to Measure Steward’s specification</w:t>
            </w:r>
          </w:p>
        </w:tc>
        <w:tc>
          <w:tcPr>
            <w:tcW w:w="6858" w:type="dxa"/>
          </w:tcPr>
          <w:p w:rsidR="00DD1C68" w:rsidRDefault="00DD1C68" w:rsidP="00B05CBF">
            <w:pPr>
              <w:pStyle w:val="NoSpacing"/>
              <w:rPr>
                <w:rFonts w:cstheme="minorHAnsi"/>
              </w:rPr>
            </w:pPr>
            <w:r w:rsidRPr="00DD1C68">
              <w:rPr>
                <w:rFonts w:cstheme="minorHAnsi"/>
              </w:rPr>
              <w:t xml:space="preserve"> </w:t>
            </w:r>
            <w:r w:rsidR="005A210A">
              <w:rPr>
                <w:rFonts w:cstheme="minorHAnsi"/>
              </w:rPr>
              <w:t>none</w:t>
            </w:r>
          </w:p>
          <w:p w:rsidR="005A210A" w:rsidRPr="00DD1C68" w:rsidRDefault="005A210A" w:rsidP="00B05CBF">
            <w:pPr>
              <w:pStyle w:val="NoSpacing"/>
              <w:rPr>
                <w:rFonts w:cstheme="minorHAnsi"/>
              </w:rPr>
            </w:pPr>
          </w:p>
        </w:tc>
      </w:tr>
      <w:tr w:rsidR="005A210A" w:rsidRPr="00DD1C68" w:rsidTr="00A374B8">
        <w:tc>
          <w:tcPr>
            <w:tcW w:w="2718" w:type="dxa"/>
          </w:tcPr>
          <w:p w:rsidR="005A210A" w:rsidRPr="00DD1C68" w:rsidRDefault="005A210A" w:rsidP="00EE61DF">
            <w:pPr>
              <w:pStyle w:val="NoSpacing"/>
              <w:rPr>
                <w:rFonts w:cstheme="minorHAnsi"/>
                <w:b/>
              </w:rPr>
            </w:pPr>
            <w:r w:rsidRPr="00DD1C68">
              <w:rPr>
                <w:rFonts w:cstheme="minorHAnsi"/>
                <w:b/>
              </w:rPr>
              <w:t xml:space="preserve">Numerator </w:t>
            </w:r>
            <w:r>
              <w:rPr>
                <w:rFonts w:cstheme="minorHAnsi"/>
                <w:b/>
              </w:rPr>
              <w:t>D</w:t>
            </w:r>
            <w:r w:rsidRPr="00DD1C68">
              <w:rPr>
                <w:rFonts w:cstheme="minorHAnsi"/>
                <w:b/>
              </w:rPr>
              <w:t xml:space="preserve">escription </w:t>
            </w:r>
          </w:p>
        </w:tc>
        <w:tc>
          <w:tcPr>
            <w:tcW w:w="6858" w:type="dxa"/>
          </w:tcPr>
          <w:p w:rsidR="00EA4B83" w:rsidRPr="004C4E93" w:rsidRDefault="00EA4B83" w:rsidP="00EA4B83">
            <w:pPr>
              <w:pStyle w:val="NoSpacing"/>
              <w:rPr>
                <w:rFonts w:cstheme="minorHAnsi"/>
              </w:rPr>
            </w:pPr>
            <w:r w:rsidRPr="004C4E93">
              <w:rPr>
                <w:rFonts w:eastAsia="Times New Roman" w:cs="Arial"/>
                <w:color w:val="000000"/>
              </w:rPr>
              <w:t>Scenario 1: Baseline includes pre and posttest scores</w:t>
            </w:r>
          </w:p>
          <w:p w:rsidR="00EA4B83" w:rsidRPr="004C4E93" w:rsidRDefault="00EA4B83" w:rsidP="00EA4B83">
            <w:pPr>
              <w:pStyle w:val="ListParagraph"/>
              <w:numPr>
                <w:ilvl w:val="0"/>
                <w:numId w:val="14"/>
              </w:numPr>
              <w:rPr>
                <w:rFonts w:asciiTheme="minorHAnsi" w:hAnsiTheme="minorHAnsi" w:cs="Arial"/>
                <w:sz w:val="22"/>
              </w:rPr>
            </w:pPr>
            <w:r w:rsidRPr="004C4E93">
              <w:rPr>
                <w:rFonts w:asciiTheme="minorHAnsi" w:eastAsia="Times New Roman" w:hAnsiTheme="minorHAnsi" w:cs="Arial"/>
                <w:color w:val="000000"/>
                <w:sz w:val="22"/>
              </w:rPr>
              <w:t xml:space="preserve">DY3: </w:t>
            </w:r>
          </w:p>
          <w:p w:rsidR="00EA4B83" w:rsidRPr="004C4E93" w:rsidRDefault="00EA4B83" w:rsidP="00EA4B83">
            <w:pPr>
              <w:pStyle w:val="ListParagraph"/>
              <w:numPr>
                <w:ilvl w:val="1"/>
                <w:numId w:val="14"/>
              </w:numPr>
              <w:ind w:left="1115"/>
              <w:rPr>
                <w:rFonts w:asciiTheme="minorHAnsi" w:hAnsiTheme="minorHAnsi" w:cs="Arial"/>
                <w:sz w:val="22"/>
              </w:rPr>
            </w:pPr>
            <w:r w:rsidRPr="004C4E93">
              <w:rPr>
                <w:rFonts w:asciiTheme="minorHAnsi" w:eastAsia="Times New Roman" w:hAnsiTheme="minorHAnsi" w:cs="Arial"/>
                <w:color w:val="000000"/>
                <w:sz w:val="22"/>
              </w:rPr>
              <w:t>The sum total of the most recent score of individuals who completed at least two surveys (pre and posttest) during the baseline measurement period. For individuals who have completed two or more posttests, only the most recent survey score should be reported. AND</w:t>
            </w:r>
          </w:p>
          <w:p w:rsidR="00EA4B83" w:rsidRPr="00911C09" w:rsidRDefault="00EA4B83" w:rsidP="00EA4B83">
            <w:pPr>
              <w:pStyle w:val="ListParagraph"/>
              <w:numPr>
                <w:ilvl w:val="1"/>
                <w:numId w:val="14"/>
              </w:numPr>
              <w:ind w:left="1115"/>
              <w:rPr>
                <w:rFonts w:asciiTheme="minorHAnsi" w:hAnsiTheme="minorHAnsi" w:cs="Arial"/>
                <w:sz w:val="22"/>
              </w:rPr>
            </w:pPr>
            <w:r w:rsidRPr="004C4E93">
              <w:rPr>
                <w:rFonts w:asciiTheme="minorHAnsi" w:hAnsiTheme="minorHAnsi" w:cs="Arial"/>
                <w:sz w:val="22"/>
              </w:rPr>
              <w:t xml:space="preserve">The sum total of the pretest scores of all individuals who </w:t>
            </w:r>
            <w:r>
              <w:rPr>
                <w:rFonts w:asciiTheme="minorHAnsi" w:hAnsiTheme="minorHAnsi" w:cs="Arial"/>
                <w:sz w:val="22"/>
              </w:rPr>
              <w:t>complete</w:t>
            </w:r>
            <w:r w:rsidRPr="00911C09">
              <w:rPr>
                <w:rFonts w:asciiTheme="minorHAnsi" w:hAnsiTheme="minorHAnsi" w:cs="Arial"/>
                <w:sz w:val="22"/>
              </w:rPr>
              <w:t xml:space="preserve"> at least two surveys since the beginning of DY1 (pretest and posttest), with the most recent posttest survey completed during the baseline measurement period.</w:t>
            </w:r>
          </w:p>
          <w:p w:rsidR="00EA4B83" w:rsidRPr="004C4E93" w:rsidRDefault="00EA4B83" w:rsidP="00EA4B83">
            <w:pPr>
              <w:pStyle w:val="ListParagraph"/>
              <w:numPr>
                <w:ilvl w:val="0"/>
                <w:numId w:val="14"/>
              </w:numPr>
              <w:rPr>
                <w:rFonts w:asciiTheme="minorHAnsi" w:hAnsiTheme="minorHAnsi" w:cs="Arial"/>
                <w:sz w:val="22"/>
              </w:rPr>
            </w:pPr>
            <w:r w:rsidRPr="004C4E93">
              <w:rPr>
                <w:rFonts w:asciiTheme="minorHAnsi" w:eastAsia="Times New Roman" w:hAnsiTheme="minorHAnsi" w:cs="Arial"/>
                <w:color w:val="000000"/>
                <w:sz w:val="22"/>
              </w:rPr>
              <w:t xml:space="preserve">DY4 &amp; DY5: The sum total of the most recent score of individuals who completed at least two surveys (pretest and posttest) since the beginning of baseline reporting, with the most recent survey completed during the reporting year. For individuals who completed two or more posttest surveys, only the most recent survey score should be reported. </w:t>
            </w:r>
          </w:p>
          <w:p w:rsidR="00EA4B83" w:rsidRPr="004C4E93" w:rsidRDefault="00EA4B83" w:rsidP="00EA4B83">
            <w:pPr>
              <w:ind w:left="1115" w:hanging="360"/>
              <w:rPr>
                <w:rFonts w:eastAsia="Times New Roman" w:cs="Arial"/>
                <w:color w:val="000000"/>
              </w:rPr>
            </w:pPr>
          </w:p>
          <w:p w:rsidR="00EA4B83" w:rsidRPr="004C4E93" w:rsidRDefault="00EA4B83" w:rsidP="00EA4B83">
            <w:pPr>
              <w:pStyle w:val="NoSpacing"/>
              <w:rPr>
                <w:rFonts w:cstheme="minorHAnsi"/>
              </w:rPr>
            </w:pPr>
            <w:r w:rsidRPr="004C4E93">
              <w:rPr>
                <w:rFonts w:cstheme="minorHAnsi"/>
              </w:rPr>
              <w:t>Scenario 2: Baseline includes pretest scores only</w:t>
            </w:r>
          </w:p>
          <w:p w:rsidR="00EA4B83" w:rsidRPr="004C4E93" w:rsidRDefault="00EA4B83" w:rsidP="00EA4B83">
            <w:pPr>
              <w:pStyle w:val="ListParagraph"/>
              <w:numPr>
                <w:ilvl w:val="0"/>
                <w:numId w:val="12"/>
              </w:numPr>
              <w:rPr>
                <w:rFonts w:asciiTheme="minorHAnsi" w:eastAsia="Times New Roman" w:hAnsiTheme="minorHAnsi" w:cs="Arial"/>
                <w:color w:val="000000"/>
                <w:sz w:val="22"/>
              </w:rPr>
            </w:pPr>
            <w:r w:rsidRPr="004C4E93">
              <w:rPr>
                <w:rFonts w:asciiTheme="minorHAnsi" w:eastAsia="Times New Roman" w:hAnsiTheme="minorHAnsi" w:cs="Arial"/>
                <w:color w:val="000000"/>
                <w:sz w:val="22"/>
              </w:rPr>
              <w:t xml:space="preserve">DY3: The sum total from all pretest surveys completed during the baseline measurement period. </w:t>
            </w:r>
          </w:p>
          <w:p w:rsidR="00EA4B83" w:rsidRPr="004C4E93" w:rsidRDefault="00EA4B83" w:rsidP="00EA4B83">
            <w:pPr>
              <w:pStyle w:val="ListParagraph"/>
              <w:numPr>
                <w:ilvl w:val="0"/>
                <w:numId w:val="12"/>
              </w:numPr>
              <w:rPr>
                <w:rFonts w:asciiTheme="minorHAnsi" w:eastAsia="Times New Roman" w:hAnsiTheme="minorHAnsi" w:cs="Arial"/>
                <w:color w:val="000000"/>
                <w:sz w:val="22"/>
              </w:rPr>
            </w:pPr>
            <w:r w:rsidRPr="004C4E93">
              <w:rPr>
                <w:rFonts w:asciiTheme="minorHAnsi" w:eastAsia="Times New Roman" w:hAnsiTheme="minorHAnsi" w:cs="Arial"/>
                <w:color w:val="000000"/>
                <w:sz w:val="22"/>
              </w:rPr>
              <w:t xml:space="preserve">DY4 &amp; DY5: The sum total of the most recent score of individuals who completed at least two surveys (pretest and posttest) since the beginning of baseline reporting, with the most recent posttest survey completed during the reporting year. For individuals who have completed two or more posttest surveys, only the most recent score should be reported. </w:t>
            </w:r>
          </w:p>
          <w:p w:rsidR="00EA4B83" w:rsidRPr="004C4E93" w:rsidRDefault="00EA4B83" w:rsidP="00EA4B83">
            <w:pPr>
              <w:rPr>
                <w:rFonts w:eastAsia="Times New Roman" w:cs="Arial"/>
                <w:color w:val="000000"/>
              </w:rPr>
            </w:pPr>
          </w:p>
          <w:p w:rsidR="00EA4B83" w:rsidRPr="004C4E93" w:rsidRDefault="00EA4B83" w:rsidP="00EA4B83">
            <w:pPr>
              <w:pStyle w:val="NoSpacing"/>
              <w:rPr>
                <w:rFonts w:cstheme="minorHAnsi"/>
              </w:rPr>
            </w:pPr>
            <w:r w:rsidRPr="004C4E93">
              <w:rPr>
                <w:rFonts w:cstheme="minorHAnsi"/>
              </w:rPr>
              <w:t>Scenario 3: No pre/post testing methodology</w:t>
            </w:r>
          </w:p>
          <w:p w:rsidR="00EA4B83" w:rsidRPr="004C4E93" w:rsidRDefault="00EA4B83" w:rsidP="00EA4B83">
            <w:pPr>
              <w:pStyle w:val="ListParagraph"/>
              <w:numPr>
                <w:ilvl w:val="0"/>
                <w:numId w:val="13"/>
              </w:numPr>
              <w:rPr>
                <w:rFonts w:asciiTheme="minorHAnsi" w:eastAsia="Times New Roman" w:hAnsiTheme="minorHAnsi" w:cs="Arial"/>
                <w:color w:val="000000"/>
                <w:sz w:val="22"/>
              </w:rPr>
            </w:pPr>
            <w:r w:rsidRPr="004C4E93">
              <w:rPr>
                <w:rFonts w:asciiTheme="minorHAnsi" w:hAnsiTheme="minorHAnsi" w:cstheme="minorHAnsi"/>
                <w:sz w:val="22"/>
              </w:rPr>
              <w:t>DY3 - DY5: The sum of the "overall score" from all of surveys completed during the measurement period.</w:t>
            </w:r>
          </w:p>
          <w:p w:rsidR="005A210A" w:rsidRPr="00DD1C68" w:rsidRDefault="005A210A" w:rsidP="00EE61DF">
            <w:pPr>
              <w:pStyle w:val="NoSpacing"/>
              <w:rPr>
                <w:rFonts w:cstheme="minorHAnsi"/>
              </w:rPr>
            </w:pPr>
          </w:p>
        </w:tc>
      </w:tr>
      <w:tr w:rsidR="005A210A" w:rsidRPr="00DD1C68" w:rsidTr="00A374B8">
        <w:tc>
          <w:tcPr>
            <w:tcW w:w="2718" w:type="dxa"/>
          </w:tcPr>
          <w:p w:rsidR="005A210A" w:rsidRPr="00DD1C68" w:rsidRDefault="005A210A" w:rsidP="00EE61DF">
            <w:pPr>
              <w:pStyle w:val="NoSpacing"/>
              <w:rPr>
                <w:rFonts w:cstheme="minorHAnsi"/>
                <w:b/>
              </w:rPr>
            </w:pPr>
            <w:r w:rsidRPr="00DD1C68">
              <w:rPr>
                <w:rFonts w:cstheme="minorHAnsi"/>
                <w:b/>
              </w:rPr>
              <w:t>Numerator Inclusions</w:t>
            </w:r>
          </w:p>
        </w:tc>
        <w:tc>
          <w:tcPr>
            <w:tcW w:w="6858" w:type="dxa"/>
          </w:tcPr>
          <w:p w:rsidR="005A210A" w:rsidRPr="005A210A" w:rsidRDefault="005A210A" w:rsidP="00EE61DF">
            <w:pPr>
              <w:pStyle w:val="NoSpacing"/>
              <w:rPr>
                <w:i/>
              </w:rPr>
            </w:pPr>
            <w:r w:rsidRPr="005A210A">
              <w:rPr>
                <w:i/>
              </w:rPr>
              <w:t xml:space="preserve">The survey developer does not identify specific numerator inclusions </w:t>
            </w:r>
            <w:r w:rsidRPr="005A210A">
              <w:rPr>
                <w:i/>
              </w:rPr>
              <w:lastRenderedPageBreak/>
              <w:t>beyond what is described in the numerator description.</w:t>
            </w:r>
          </w:p>
          <w:p w:rsidR="005A210A" w:rsidRPr="005A210A" w:rsidRDefault="005A210A" w:rsidP="00EE61DF">
            <w:pPr>
              <w:pStyle w:val="NoSpacing"/>
              <w:rPr>
                <w:rFonts w:cstheme="minorHAnsi"/>
                <w:b/>
                <w:i/>
              </w:rPr>
            </w:pPr>
          </w:p>
        </w:tc>
      </w:tr>
      <w:tr w:rsidR="005A210A" w:rsidRPr="00DD1C68" w:rsidTr="00A374B8">
        <w:tc>
          <w:tcPr>
            <w:tcW w:w="2718" w:type="dxa"/>
          </w:tcPr>
          <w:p w:rsidR="005A210A" w:rsidRPr="00DD1C68" w:rsidRDefault="005A210A" w:rsidP="00EE61DF">
            <w:pPr>
              <w:pStyle w:val="NoSpacing"/>
              <w:rPr>
                <w:rFonts w:cstheme="minorHAnsi"/>
                <w:b/>
              </w:rPr>
            </w:pPr>
            <w:r w:rsidRPr="00DD1C68">
              <w:rPr>
                <w:rFonts w:cstheme="minorHAnsi"/>
                <w:b/>
              </w:rPr>
              <w:lastRenderedPageBreak/>
              <w:t>Numerator Exclusions</w:t>
            </w:r>
          </w:p>
        </w:tc>
        <w:tc>
          <w:tcPr>
            <w:tcW w:w="6858" w:type="dxa"/>
          </w:tcPr>
          <w:p w:rsidR="005A210A" w:rsidRPr="005A210A" w:rsidRDefault="005A210A" w:rsidP="00EE61DF">
            <w:pPr>
              <w:pStyle w:val="NoSpacing"/>
              <w:rPr>
                <w:i/>
              </w:rPr>
            </w:pPr>
            <w:r w:rsidRPr="005A210A">
              <w:rPr>
                <w:i/>
              </w:rPr>
              <w:t>The survey developer does not identify specific numerator inclusions beyond what is described in the numerator description.</w:t>
            </w:r>
          </w:p>
          <w:p w:rsidR="005A210A" w:rsidRPr="005A210A" w:rsidRDefault="005A210A" w:rsidP="00EE61DF">
            <w:pPr>
              <w:pStyle w:val="NoSpacing"/>
              <w:rPr>
                <w:rFonts w:cstheme="minorHAnsi"/>
                <w:i/>
              </w:rPr>
            </w:pPr>
          </w:p>
        </w:tc>
      </w:tr>
      <w:tr w:rsidR="005A210A" w:rsidRPr="00DD1C68" w:rsidTr="00A374B8">
        <w:tc>
          <w:tcPr>
            <w:tcW w:w="2718" w:type="dxa"/>
          </w:tcPr>
          <w:p w:rsidR="005A210A" w:rsidRPr="00DD1C68" w:rsidRDefault="005A210A" w:rsidP="001D6BEA">
            <w:pPr>
              <w:pStyle w:val="NoSpacing"/>
              <w:rPr>
                <w:rFonts w:cstheme="minorHAnsi"/>
                <w:b/>
              </w:rPr>
            </w:pPr>
            <w:r w:rsidRPr="00DD1C68">
              <w:rPr>
                <w:rFonts w:cstheme="minorHAnsi"/>
                <w:b/>
              </w:rPr>
              <w:t xml:space="preserve">Denominator Description </w:t>
            </w:r>
          </w:p>
        </w:tc>
        <w:tc>
          <w:tcPr>
            <w:tcW w:w="6858" w:type="dxa"/>
          </w:tcPr>
          <w:p w:rsidR="00EA4B83" w:rsidRPr="004C4E93" w:rsidRDefault="00EA4B83" w:rsidP="00EA4B83">
            <w:pPr>
              <w:rPr>
                <w:rFonts w:eastAsia="Times New Roman" w:cs="Arial"/>
                <w:color w:val="000000"/>
              </w:rPr>
            </w:pPr>
            <w:r w:rsidRPr="004C4E93">
              <w:rPr>
                <w:rFonts w:eastAsia="Times New Roman" w:cs="Arial"/>
                <w:color w:val="000000"/>
              </w:rPr>
              <w:t xml:space="preserve">In all scenarios, the numerator and denominator should result in an average score. </w:t>
            </w:r>
          </w:p>
          <w:p w:rsidR="00EA4B83" w:rsidRPr="004C4E93" w:rsidRDefault="00EA4B83" w:rsidP="00EA4B83">
            <w:pPr>
              <w:pStyle w:val="NoSpacing"/>
              <w:rPr>
                <w:rFonts w:eastAsia="Times New Roman" w:cs="Arial"/>
                <w:color w:val="000000"/>
              </w:rPr>
            </w:pPr>
          </w:p>
          <w:p w:rsidR="00EA4B83" w:rsidRPr="004C4E93" w:rsidRDefault="00EA4B83" w:rsidP="00EA4B83">
            <w:pPr>
              <w:pStyle w:val="NoSpacing"/>
              <w:rPr>
                <w:rFonts w:cstheme="minorHAnsi"/>
              </w:rPr>
            </w:pPr>
            <w:r w:rsidRPr="004C4E93">
              <w:rPr>
                <w:rFonts w:eastAsia="Times New Roman" w:cs="Arial"/>
                <w:color w:val="000000"/>
              </w:rPr>
              <w:t>Scenario 1: Baseline includes pre and posttest scores</w:t>
            </w:r>
          </w:p>
          <w:p w:rsidR="00EA4B83" w:rsidRPr="004C4E93" w:rsidRDefault="00EA4B83" w:rsidP="00EA4B83">
            <w:pPr>
              <w:pStyle w:val="ListParagraph"/>
              <w:numPr>
                <w:ilvl w:val="0"/>
                <w:numId w:val="13"/>
              </w:numPr>
              <w:rPr>
                <w:rFonts w:asciiTheme="minorHAnsi" w:eastAsia="Times New Roman" w:hAnsiTheme="minorHAnsi" w:cs="Arial"/>
                <w:color w:val="000000"/>
                <w:sz w:val="22"/>
              </w:rPr>
            </w:pPr>
            <w:r w:rsidRPr="004C4E93">
              <w:rPr>
                <w:rFonts w:asciiTheme="minorHAnsi" w:eastAsia="Times New Roman" w:hAnsiTheme="minorHAnsi" w:cs="Arial"/>
                <w:color w:val="000000"/>
                <w:sz w:val="22"/>
              </w:rPr>
              <w:t xml:space="preserve">DY3: For both reported scores (pretest and posttest), the denominator will be the total number of individuals who have completed at least two surveys (pretest posttest) at the end of the baseline measurement period. </w:t>
            </w:r>
          </w:p>
          <w:p w:rsidR="00EA4B83" w:rsidRPr="004C4E93" w:rsidRDefault="00EA4B83" w:rsidP="00EA4B83">
            <w:pPr>
              <w:pStyle w:val="ListParagraph"/>
              <w:numPr>
                <w:ilvl w:val="0"/>
                <w:numId w:val="13"/>
              </w:numPr>
              <w:rPr>
                <w:rFonts w:asciiTheme="minorHAnsi" w:eastAsia="Times New Roman" w:hAnsiTheme="minorHAnsi" w:cs="Arial"/>
                <w:color w:val="000000"/>
                <w:sz w:val="22"/>
              </w:rPr>
            </w:pPr>
            <w:r w:rsidRPr="004C4E93">
              <w:rPr>
                <w:rFonts w:asciiTheme="minorHAnsi" w:eastAsia="Times New Roman" w:hAnsiTheme="minorHAnsi" w:cs="Arial"/>
                <w:color w:val="000000"/>
                <w:sz w:val="22"/>
              </w:rPr>
              <w:t xml:space="preserve">DY4 &amp; DY5: The total number of individuals receiving at least two surveys (pretest and posttest) since the beginning of baseline reporting, with the most recent posttest survey completed during the reporting year. </w:t>
            </w:r>
          </w:p>
          <w:p w:rsidR="00EA4B83" w:rsidRPr="004C4E93" w:rsidRDefault="00EA4B83" w:rsidP="00EA4B83">
            <w:pPr>
              <w:rPr>
                <w:rFonts w:eastAsia="Times New Roman" w:cs="Arial"/>
                <w:color w:val="000000"/>
              </w:rPr>
            </w:pPr>
          </w:p>
          <w:p w:rsidR="00EA4B83" w:rsidRPr="004C4E93" w:rsidRDefault="00EA4B83" w:rsidP="00EA4B83">
            <w:pPr>
              <w:pStyle w:val="NoSpacing"/>
              <w:rPr>
                <w:rFonts w:cstheme="minorHAnsi"/>
              </w:rPr>
            </w:pPr>
            <w:r w:rsidRPr="004C4E93">
              <w:rPr>
                <w:rFonts w:cstheme="minorHAnsi"/>
              </w:rPr>
              <w:t>Scenario 2: Baseline includes pretest scores only</w:t>
            </w:r>
          </w:p>
          <w:p w:rsidR="00EA4B83" w:rsidRPr="004C4E93" w:rsidRDefault="00EA4B83" w:rsidP="00EA4B83">
            <w:pPr>
              <w:pStyle w:val="ListParagraph"/>
              <w:numPr>
                <w:ilvl w:val="0"/>
                <w:numId w:val="15"/>
              </w:numPr>
              <w:rPr>
                <w:rFonts w:asciiTheme="minorHAnsi" w:eastAsia="Times New Roman" w:hAnsiTheme="minorHAnsi" w:cs="Arial"/>
                <w:color w:val="000000"/>
                <w:sz w:val="22"/>
              </w:rPr>
            </w:pPr>
            <w:r w:rsidRPr="004C4E93">
              <w:rPr>
                <w:rFonts w:asciiTheme="minorHAnsi" w:eastAsia="Times New Roman" w:hAnsiTheme="minorHAnsi" w:cs="Arial"/>
                <w:color w:val="000000"/>
                <w:sz w:val="22"/>
              </w:rPr>
              <w:t>DY3: The total number of individuals completing pretest surveys during the baseline measurement period.</w:t>
            </w:r>
          </w:p>
          <w:p w:rsidR="00EA4B83" w:rsidRPr="004C4E93" w:rsidRDefault="00EA4B83" w:rsidP="00EA4B83">
            <w:pPr>
              <w:pStyle w:val="ListParagraph"/>
              <w:numPr>
                <w:ilvl w:val="0"/>
                <w:numId w:val="15"/>
              </w:numPr>
              <w:rPr>
                <w:rFonts w:asciiTheme="minorHAnsi" w:eastAsia="Times New Roman" w:hAnsiTheme="minorHAnsi" w:cs="Arial"/>
                <w:color w:val="000000"/>
                <w:sz w:val="22"/>
              </w:rPr>
            </w:pPr>
            <w:r w:rsidRPr="004C4E93">
              <w:rPr>
                <w:rFonts w:asciiTheme="minorHAnsi" w:eastAsia="Times New Roman" w:hAnsiTheme="minorHAnsi" w:cs="Arial"/>
                <w:color w:val="000000"/>
                <w:sz w:val="22"/>
              </w:rPr>
              <w:t xml:space="preserve">DY4 &amp; DY5: The total number of individuals receiving at least two surveys since the beginning of baseline reporting, with the most recent survey completed during the reporting year. </w:t>
            </w:r>
          </w:p>
          <w:p w:rsidR="00EA4B83" w:rsidRPr="004C4E93" w:rsidRDefault="00EA4B83" w:rsidP="00EA4B83">
            <w:pPr>
              <w:rPr>
                <w:rFonts w:eastAsia="Times New Roman" w:cs="Arial"/>
                <w:color w:val="000000"/>
              </w:rPr>
            </w:pPr>
          </w:p>
          <w:p w:rsidR="00EA4B83" w:rsidRPr="004C4E93" w:rsidRDefault="00EA4B83" w:rsidP="00EA4B83">
            <w:pPr>
              <w:pStyle w:val="NoSpacing"/>
              <w:rPr>
                <w:rFonts w:cstheme="minorHAnsi"/>
              </w:rPr>
            </w:pPr>
            <w:r w:rsidRPr="004C4E93">
              <w:rPr>
                <w:rFonts w:cstheme="minorHAnsi"/>
              </w:rPr>
              <w:t>Scenario 3: No pre/post testing methodology</w:t>
            </w:r>
          </w:p>
          <w:p w:rsidR="00EA4B83" w:rsidRPr="004C4E93" w:rsidRDefault="00EA4B83" w:rsidP="00EA4B83">
            <w:pPr>
              <w:pStyle w:val="ListParagraph"/>
              <w:numPr>
                <w:ilvl w:val="0"/>
                <w:numId w:val="16"/>
              </w:numPr>
              <w:rPr>
                <w:rFonts w:asciiTheme="minorHAnsi" w:eastAsia="Times New Roman" w:hAnsiTheme="minorHAnsi" w:cs="Arial"/>
                <w:color w:val="000000"/>
                <w:sz w:val="22"/>
              </w:rPr>
            </w:pPr>
            <w:r w:rsidRPr="004C4E93">
              <w:rPr>
                <w:rFonts w:asciiTheme="minorHAnsi" w:hAnsiTheme="minorHAnsi" w:cstheme="minorHAnsi"/>
                <w:sz w:val="22"/>
              </w:rPr>
              <w:t>DY3-DY5: The total number of surveys completed during the measurement period</w:t>
            </w:r>
          </w:p>
          <w:p w:rsidR="005A210A" w:rsidRPr="00DD1C68" w:rsidRDefault="005A210A" w:rsidP="006C7F2E">
            <w:pPr>
              <w:pStyle w:val="NoSpacing"/>
              <w:rPr>
                <w:rFonts w:cstheme="minorHAnsi"/>
              </w:rPr>
            </w:pPr>
          </w:p>
        </w:tc>
      </w:tr>
      <w:tr w:rsidR="005A210A" w:rsidRPr="00DD1C68" w:rsidTr="00A374B8">
        <w:tc>
          <w:tcPr>
            <w:tcW w:w="2718" w:type="dxa"/>
          </w:tcPr>
          <w:p w:rsidR="005A210A" w:rsidRPr="00DD1C68" w:rsidRDefault="005A210A" w:rsidP="007F1266">
            <w:pPr>
              <w:pStyle w:val="NoSpacing"/>
              <w:rPr>
                <w:rFonts w:cstheme="minorHAnsi"/>
                <w:b/>
              </w:rPr>
            </w:pPr>
            <w:r w:rsidRPr="00DD1C68">
              <w:rPr>
                <w:rFonts w:cstheme="minorHAnsi"/>
                <w:b/>
              </w:rPr>
              <w:t xml:space="preserve">Denominator </w:t>
            </w:r>
            <w:r>
              <w:rPr>
                <w:rFonts w:cstheme="minorHAnsi"/>
                <w:b/>
              </w:rPr>
              <w:t>I</w:t>
            </w:r>
            <w:r w:rsidRPr="00DD1C68">
              <w:rPr>
                <w:rFonts w:cstheme="minorHAnsi"/>
                <w:b/>
              </w:rPr>
              <w:t>nclusions</w:t>
            </w:r>
          </w:p>
        </w:tc>
        <w:tc>
          <w:tcPr>
            <w:tcW w:w="6858" w:type="dxa"/>
          </w:tcPr>
          <w:p w:rsidR="005A210A" w:rsidRDefault="005A210A" w:rsidP="007C104F">
            <w:pPr>
              <w:pStyle w:val="NoSpacing"/>
              <w:rPr>
                <w:i/>
              </w:rPr>
            </w:pPr>
            <w:r w:rsidRPr="005A210A">
              <w:rPr>
                <w:i/>
              </w:rPr>
              <w:t>The survey developer does not identify specific denominator inclusions beyond what is described in the denominator description.</w:t>
            </w:r>
          </w:p>
          <w:p w:rsidR="005A210A" w:rsidRPr="005A210A" w:rsidRDefault="005A210A" w:rsidP="007C104F">
            <w:pPr>
              <w:pStyle w:val="NoSpacing"/>
              <w:rPr>
                <w:rFonts w:cstheme="minorHAnsi"/>
                <w:i/>
              </w:rPr>
            </w:pPr>
          </w:p>
        </w:tc>
      </w:tr>
      <w:tr w:rsidR="005A210A" w:rsidRPr="00DD1C68" w:rsidTr="00A374B8">
        <w:tc>
          <w:tcPr>
            <w:tcW w:w="2718" w:type="dxa"/>
          </w:tcPr>
          <w:p w:rsidR="005A210A" w:rsidRPr="00DD1C68" w:rsidRDefault="005A210A" w:rsidP="007F1266">
            <w:pPr>
              <w:pStyle w:val="NoSpacing"/>
              <w:rPr>
                <w:rFonts w:cstheme="minorHAnsi"/>
                <w:b/>
              </w:rPr>
            </w:pPr>
            <w:r w:rsidRPr="00DD1C68">
              <w:rPr>
                <w:rFonts w:cstheme="minorHAnsi"/>
                <w:b/>
              </w:rPr>
              <w:t xml:space="preserve">Denominator </w:t>
            </w:r>
            <w:r>
              <w:rPr>
                <w:rFonts w:cstheme="minorHAnsi"/>
                <w:b/>
              </w:rPr>
              <w:t>E</w:t>
            </w:r>
            <w:r w:rsidRPr="00DD1C68">
              <w:rPr>
                <w:rFonts w:cstheme="minorHAnsi"/>
                <w:b/>
              </w:rPr>
              <w:t>xclusions</w:t>
            </w:r>
          </w:p>
        </w:tc>
        <w:tc>
          <w:tcPr>
            <w:tcW w:w="6858" w:type="dxa"/>
          </w:tcPr>
          <w:p w:rsidR="005A210A" w:rsidRDefault="005A210A" w:rsidP="007C104F">
            <w:pPr>
              <w:pStyle w:val="NoSpacing"/>
              <w:rPr>
                <w:i/>
              </w:rPr>
            </w:pPr>
            <w:r w:rsidRPr="005A210A">
              <w:rPr>
                <w:i/>
              </w:rPr>
              <w:t>The survey developer does not identify specific denominator exclusions beyond what is described in the denominator description.</w:t>
            </w:r>
          </w:p>
          <w:p w:rsidR="005A210A" w:rsidRPr="005A210A" w:rsidRDefault="005A210A" w:rsidP="007C104F">
            <w:pPr>
              <w:pStyle w:val="NoSpacing"/>
              <w:rPr>
                <w:rFonts w:cstheme="minorHAnsi"/>
                <w:i/>
              </w:rPr>
            </w:pPr>
          </w:p>
        </w:tc>
      </w:tr>
      <w:tr w:rsidR="005A210A" w:rsidRPr="00DD1C68" w:rsidTr="00A374B8">
        <w:tc>
          <w:tcPr>
            <w:tcW w:w="2718" w:type="dxa"/>
          </w:tcPr>
          <w:p w:rsidR="005A210A" w:rsidRPr="00DD1C68" w:rsidRDefault="005A210A" w:rsidP="007F1266">
            <w:pPr>
              <w:pStyle w:val="NoSpacing"/>
              <w:rPr>
                <w:rFonts w:cstheme="minorHAnsi"/>
                <w:b/>
              </w:rPr>
            </w:pPr>
            <w:r w:rsidRPr="00DD1C68">
              <w:rPr>
                <w:rFonts w:cstheme="minorHAnsi"/>
                <w:b/>
              </w:rPr>
              <w:t xml:space="preserve">Denominator </w:t>
            </w:r>
            <w:r>
              <w:rPr>
                <w:rFonts w:cstheme="minorHAnsi"/>
                <w:b/>
              </w:rPr>
              <w:t>S</w:t>
            </w:r>
            <w:r w:rsidRPr="00DD1C68">
              <w:rPr>
                <w:rFonts w:cstheme="minorHAnsi"/>
                <w:b/>
              </w:rPr>
              <w:t>ize</w:t>
            </w:r>
          </w:p>
        </w:tc>
        <w:tc>
          <w:tcPr>
            <w:tcW w:w="6858" w:type="dxa"/>
          </w:tcPr>
          <w:p w:rsidR="005A210A" w:rsidRPr="00DD1C68" w:rsidRDefault="005A210A" w:rsidP="0031777F">
            <w:pPr>
              <w:pStyle w:val="NoSpacing"/>
              <w:rPr>
                <w:rFonts w:cstheme="minorHAnsi"/>
              </w:rPr>
            </w:pPr>
            <w:r w:rsidRPr="00DD1C68">
              <w:rPr>
                <w:rFonts w:cstheme="minorHAnsi"/>
              </w:rPr>
              <w:t>Providers must report a minimum of 30 cases per measure during a 12-month measurement period (15 cases for a 6-month measurement period)</w:t>
            </w:r>
          </w:p>
          <w:p w:rsidR="005A210A" w:rsidRPr="00DD1C68" w:rsidRDefault="005A210A" w:rsidP="0031777F">
            <w:pPr>
              <w:pStyle w:val="NoSpacing"/>
              <w:numPr>
                <w:ilvl w:val="0"/>
                <w:numId w:val="8"/>
              </w:numPr>
              <w:rPr>
                <w:rFonts w:cstheme="minorHAnsi"/>
              </w:rPr>
            </w:pPr>
            <w:r w:rsidRPr="00DD1C68">
              <w:rPr>
                <w:rFonts w:cstheme="minorHAnsi"/>
              </w:rPr>
              <w:t>For a measurement period (either 6 or 12-months) where the denominator size is less than or equal to 75, providers must report on all cases. No sampling is allowed.</w:t>
            </w:r>
          </w:p>
          <w:p w:rsidR="005A210A" w:rsidRPr="00DD1C68" w:rsidRDefault="005A210A" w:rsidP="0031777F">
            <w:pPr>
              <w:pStyle w:val="NoSpacing"/>
              <w:numPr>
                <w:ilvl w:val="0"/>
                <w:numId w:val="8"/>
              </w:numPr>
              <w:rPr>
                <w:rFonts w:cstheme="minorHAnsi"/>
              </w:rPr>
            </w:pPr>
            <w:r w:rsidRPr="00DD1C68">
              <w:rPr>
                <w:rFonts w:cstheme="minorHAnsi"/>
              </w:rPr>
              <w:t>For a measurement period (either 6 or 12-months) where the denominator size is less than or equal to 380 but greater than 75, providers must report on a random sample of not less than 76 cases.</w:t>
            </w:r>
          </w:p>
          <w:p w:rsidR="005A210A" w:rsidRPr="00DD1C68" w:rsidRDefault="005A210A" w:rsidP="00F501CB">
            <w:pPr>
              <w:pStyle w:val="NoSpacing"/>
              <w:numPr>
                <w:ilvl w:val="0"/>
                <w:numId w:val="8"/>
              </w:numPr>
              <w:rPr>
                <w:rFonts w:cstheme="minorHAnsi"/>
              </w:rPr>
            </w:pPr>
            <w:r w:rsidRPr="00DD1C68">
              <w:rPr>
                <w:rFonts w:cstheme="minorHAnsi"/>
              </w:rPr>
              <w:lastRenderedPageBreak/>
              <w:t xml:space="preserve">For a measurement period (either 6 or 12-months) where the denominator size is greater than </w:t>
            </w:r>
            <w:r w:rsidR="00F501CB">
              <w:rPr>
                <w:rFonts w:cstheme="minorHAnsi"/>
              </w:rPr>
              <w:t>380</w:t>
            </w:r>
            <w:r w:rsidRPr="00DD1C68">
              <w:rPr>
                <w:rFonts w:cstheme="minorHAnsi"/>
              </w:rPr>
              <w:t xml:space="preserve">, providers must report on a random sample of cases that is not less than 20% of all cases; however, providers may cap the total sample size at 300 cases. </w:t>
            </w:r>
          </w:p>
        </w:tc>
      </w:tr>
      <w:tr w:rsidR="00EA4B83" w:rsidRPr="00DD1C68" w:rsidTr="00A374B8">
        <w:tc>
          <w:tcPr>
            <w:tcW w:w="2718" w:type="dxa"/>
          </w:tcPr>
          <w:p w:rsidR="00EA4B83" w:rsidRPr="00DD1C68" w:rsidRDefault="00EA4B83" w:rsidP="003E7258">
            <w:pPr>
              <w:pStyle w:val="NoSpacing"/>
              <w:rPr>
                <w:rFonts w:cstheme="minorHAnsi"/>
                <w:b/>
              </w:rPr>
            </w:pPr>
            <w:r>
              <w:rPr>
                <w:b/>
              </w:rPr>
              <w:lastRenderedPageBreak/>
              <w:t>Allowable Denominator Sub-sets</w:t>
            </w:r>
          </w:p>
        </w:tc>
        <w:tc>
          <w:tcPr>
            <w:tcW w:w="6858" w:type="dxa"/>
          </w:tcPr>
          <w:p w:rsidR="00EA4B83" w:rsidRDefault="00EA4B83" w:rsidP="004F0E51">
            <w:pPr>
              <w:pStyle w:val="NoSpacing"/>
            </w:pPr>
            <w:r>
              <w:t>All denominator subsets are permissible for this outcome</w:t>
            </w:r>
          </w:p>
          <w:p w:rsidR="00EA4B83" w:rsidRPr="00DD1C68" w:rsidRDefault="00EA4B83" w:rsidP="003E7258">
            <w:pPr>
              <w:pStyle w:val="NoSpacing"/>
              <w:rPr>
                <w:rFonts w:cstheme="minorHAnsi"/>
              </w:rPr>
            </w:pPr>
          </w:p>
        </w:tc>
      </w:tr>
      <w:tr w:rsidR="00EA4B83" w:rsidRPr="00DD1C68" w:rsidTr="00A374B8">
        <w:tc>
          <w:tcPr>
            <w:tcW w:w="2718" w:type="dxa"/>
          </w:tcPr>
          <w:p w:rsidR="00EA4B83" w:rsidRDefault="00EA4B83" w:rsidP="00A374B8">
            <w:pPr>
              <w:pStyle w:val="NoSpacing"/>
              <w:rPr>
                <w:rFonts w:cstheme="minorHAnsi"/>
                <w:b/>
              </w:rPr>
            </w:pPr>
            <w:r w:rsidRPr="00601154">
              <w:rPr>
                <w:b/>
              </w:rPr>
              <w:t>Optional Pretest Score Boundary</w:t>
            </w:r>
          </w:p>
        </w:tc>
        <w:tc>
          <w:tcPr>
            <w:tcW w:w="6858" w:type="dxa"/>
          </w:tcPr>
          <w:p w:rsidR="00EA4B83" w:rsidRDefault="00EA4B83" w:rsidP="00FE333A">
            <w:pPr>
              <w:pStyle w:val="NoSpacing"/>
              <w:rPr>
                <w:rFonts w:cstheme="minorHAnsi"/>
              </w:rPr>
            </w:pPr>
            <w:r w:rsidRPr="004C4E93">
              <w:t>Providers reporting this measure have the option of defining a pretest score</w:t>
            </w:r>
            <w:r>
              <w:t xml:space="preserve"> boundary </w:t>
            </w:r>
            <w:r w:rsidRPr="004C4E93">
              <w:t>during their baseline measurement years</w:t>
            </w:r>
            <w:r>
              <w:t xml:space="preserve"> to normalize their population throughout reporting years</w:t>
            </w:r>
            <w:r w:rsidRPr="004C4E93">
              <w:t>, where only individuals with a pretest score that falls within a specified range (one or two standard deviations from the baseline pretest mean) are included in calculations</w:t>
            </w:r>
            <w:r>
              <w:t xml:space="preserve"> for</w:t>
            </w:r>
            <w:r w:rsidRPr="004C4E93">
              <w:t xml:space="preserve"> baseline, DY4, and DY5 reporting. Providers using a pretest score boundary must follow the instructions included in the “Reporting </w:t>
            </w:r>
            <w:r>
              <w:t>Guidelines for Pre and Postt</w:t>
            </w:r>
            <w:r w:rsidRPr="004C4E93">
              <w:t xml:space="preserve">est Tools” </w:t>
            </w:r>
            <w:r>
              <w:t xml:space="preserve">document located </w:t>
            </w:r>
            <w:r w:rsidRPr="008815CC">
              <w:t xml:space="preserve">on the </w:t>
            </w:r>
            <w:hyperlink r:id="rId13" w:history="1">
              <w:r w:rsidRPr="008815CC">
                <w:rPr>
                  <w:rStyle w:val="Hyperlink"/>
                </w:rPr>
                <w:t>Tools and Guidelines for Regional Healthcare Partnership Participants</w:t>
              </w:r>
            </w:hyperlink>
            <w:r w:rsidRPr="008815CC">
              <w:t xml:space="preserve"> page under Category 3.</w:t>
            </w:r>
          </w:p>
        </w:tc>
      </w:tr>
      <w:tr w:rsidR="00EA4B83" w:rsidRPr="00DD1C68" w:rsidTr="00A374B8">
        <w:tc>
          <w:tcPr>
            <w:tcW w:w="2718" w:type="dxa"/>
          </w:tcPr>
          <w:p w:rsidR="00EA4B83" w:rsidRDefault="00EA4B83" w:rsidP="00A374B8">
            <w:pPr>
              <w:pStyle w:val="NoSpacing"/>
              <w:rPr>
                <w:rFonts w:cstheme="minorHAnsi"/>
                <w:b/>
              </w:rPr>
            </w:pPr>
            <w:r w:rsidRPr="00601154">
              <w:rPr>
                <w:b/>
              </w:rPr>
              <w:t>Reporting Survey Administration</w:t>
            </w:r>
          </w:p>
        </w:tc>
        <w:tc>
          <w:tcPr>
            <w:tcW w:w="6858" w:type="dxa"/>
          </w:tcPr>
          <w:p w:rsidR="00EA4B83" w:rsidRDefault="00EA4B83" w:rsidP="00FE333A">
            <w:pPr>
              <w:pStyle w:val="NoSpacing"/>
              <w:rPr>
                <w:rFonts w:cstheme="minorHAnsi"/>
              </w:rPr>
            </w:pPr>
            <w:r w:rsidRPr="004C4E93">
              <w:t>Providers will report details of their survey administration methodology and selected reporting scenario as supporting documentation submitted at baseline reporting. Providers will use the Sur</w:t>
            </w:r>
            <w:r>
              <w:t>vey Administration Form located</w:t>
            </w:r>
            <w:r w:rsidRPr="008815CC">
              <w:t xml:space="preserve"> on the </w:t>
            </w:r>
            <w:hyperlink r:id="rId14" w:history="1">
              <w:r w:rsidRPr="008815CC">
                <w:rPr>
                  <w:rStyle w:val="Hyperlink"/>
                </w:rPr>
                <w:t>Tools and Guidelines for Regional Healthcare Partnership Participants</w:t>
              </w:r>
            </w:hyperlink>
            <w:r w:rsidRPr="008815CC">
              <w:t xml:space="preserve"> page under Category 3.</w:t>
            </w:r>
          </w:p>
        </w:tc>
      </w:tr>
      <w:tr w:rsidR="005A210A" w:rsidRPr="00DD1C68" w:rsidTr="00A374B8">
        <w:tc>
          <w:tcPr>
            <w:tcW w:w="2718" w:type="dxa"/>
          </w:tcPr>
          <w:p w:rsidR="005A210A" w:rsidRPr="00DD1C68" w:rsidRDefault="005A210A" w:rsidP="00A374B8">
            <w:pPr>
              <w:pStyle w:val="NoSpacing"/>
              <w:rPr>
                <w:rFonts w:cstheme="minorHAnsi"/>
                <w:b/>
              </w:rPr>
            </w:pPr>
            <w:r>
              <w:rPr>
                <w:rFonts w:cstheme="minorHAnsi"/>
                <w:b/>
              </w:rPr>
              <w:t>Additional Considerations for Providers</w:t>
            </w:r>
          </w:p>
        </w:tc>
        <w:tc>
          <w:tcPr>
            <w:tcW w:w="6858" w:type="dxa"/>
          </w:tcPr>
          <w:p w:rsidR="005A210A" w:rsidRDefault="005A210A" w:rsidP="00FE333A">
            <w:pPr>
              <w:pStyle w:val="NoSpacing"/>
              <w:rPr>
                <w:rFonts w:cstheme="minorHAnsi"/>
              </w:rPr>
            </w:pPr>
            <w:r>
              <w:rPr>
                <w:rFonts w:cstheme="minorHAnsi"/>
              </w:rPr>
              <w:t xml:space="preserve">For DSRIP reporting purposes, DLA-20 should </w:t>
            </w:r>
            <w:r w:rsidRPr="00A029D7">
              <w:rPr>
                <w:rFonts w:cstheme="minorHAnsi"/>
              </w:rPr>
              <w:t>be used by behavioral health projects to determine effectiveness of interventions for improvement functioning and reduction of symptoms.</w:t>
            </w:r>
          </w:p>
          <w:p w:rsidR="005A210A" w:rsidRDefault="005A210A" w:rsidP="00FE333A">
            <w:pPr>
              <w:pStyle w:val="NoSpacing"/>
              <w:rPr>
                <w:rFonts w:cstheme="minorHAnsi"/>
              </w:rPr>
            </w:pPr>
          </w:p>
          <w:p w:rsidR="005A210A" w:rsidRDefault="005A210A" w:rsidP="00FE333A">
            <w:pPr>
              <w:pStyle w:val="NoSpacing"/>
              <w:rPr>
                <w:rFonts w:cstheme="minorHAnsi"/>
              </w:rPr>
            </w:pPr>
            <w:r w:rsidRPr="00587099">
              <w:rPr>
                <w:rFonts w:cstheme="minorHAnsi"/>
              </w:rPr>
              <w:t>The DLA-20 is a copyrighted tool available for free use after a 3.5 hour training delivered via webinar by MTM Services and the National Council.</w:t>
            </w:r>
          </w:p>
          <w:p w:rsidR="005A210A" w:rsidRDefault="005A210A" w:rsidP="00FE333A">
            <w:pPr>
              <w:pStyle w:val="NoSpacing"/>
              <w:rPr>
                <w:rFonts w:cstheme="minorHAnsi"/>
              </w:rPr>
            </w:pPr>
          </w:p>
          <w:p w:rsidR="005A210A" w:rsidRPr="005A210A" w:rsidRDefault="005A210A" w:rsidP="005A210A">
            <w:pPr>
              <w:spacing w:line="240" w:lineRule="auto"/>
            </w:pPr>
            <w:r>
              <w:rPr>
                <w:rFonts w:cstheme="minorHAnsi"/>
              </w:rPr>
              <w:t xml:space="preserve">Providers should for follow survey administration, sampling, and scoring guidelines, unless a DSRIP specific modification has been noted. </w:t>
            </w:r>
            <w:r>
              <w:t xml:space="preserve">Surveys are validated in their entirety and providers should plan on using as specified by the survey developer. </w:t>
            </w:r>
          </w:p>
          <w:p w:rsidR="005A210A" w:rsidRPr="00DD1C68" w:rsidRDefault="005A210A" w:rsidP="00FE333A">
            <w:pPr>
              <w:pStyle w:val="NoSpacing"/>
              <w:rPr>
                <w:rFonts w:cstheme="minorHAnsi"/>
              </w:rPr>
            </w:pPr>
          </w:p>
        </w:tc>
      </w:tr>
      <w:tr w:rsidR="005A210A" w:rsidRPr="00DD1C68" w:rsidTr="00A374B8">
        <w:tc>
          <w:tcPr>
            <w:tcW w:w="2718" w:type="dxa"/>
          </w:tcPr>
          <w:p w:rsidR="005A210A" w:rsidRPr="00DD1C68" w:rsidRDefault="005A210A" w:rsidP="00A374B8">
            <w:pPr>
              <w:pStyle w:val="NoSpacing"/>
              <w:rPr>
                <w:rFonts w:cstheme="minorHAnsi"/>
                <w:b/>
              </w:rPr>
            </w:pPr>
            <w:r w:rsidRPr="00DD1C68">
              <w:rPr>
                <w:rFonts w:cstheme="minorHAnsi"/>
                <w:b/>
              </w:rPr>
              <w:t>Data Source</w:t>
            </w:r>
          </w:p>
        </w:tc>
        <w:tc>
          <w:tcPr>
            <w:tcW w:w="6858" w:type="dxa"/>
          </w:tcPr>
          <w:p w:rsidR="005A210A" w:rsidRPr="00DD1C68" w:rsidRDefault="005A210A" w:rsidP="00FE333A">
            <w:pPr>
              <w:pStyle w:val="NoSpacing"/>
              <w:rPr>
                <w:rFonts w:cstheme="minorHAnsi"/>
              </w:rPr>
            </w:pPr>
            <w:r>
              <w:rPr>
                <w:rFonts w:cstheme="minorHAnsi"/>
              </w:rPr>
              <w:t>Survey report/ Clinical data</w:t>
            </w:r>
          </w:p>
        </w:tc>
      </w:tr>
    </w:tbl>
    <w:p w:rsidR="00356CF4" w:rsidRPr="00DD1C68" w:rsidRDefault="00356CF4" w:rsidP="007C7C85">
      <w:pPr>
        <w:pStyle w:val="Heading2"/>
        <w:rPr>
          <w:rFonts w:asciiTheme="minorHAnsi" w:hAnsiTheme="minorHAnsi" w:cstheme="minorHAnsi"/>
          <w:sz w:val="22"/>
          <w:szCs w:val="22"/>
        </w:rPr>
      </w:pPr>
    </w:p>
    <w:sectPr w:rsidR="00356CF4" w:rsidRPr="00DD1C6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395" w:rsidRDefault="007E0395" w:rsidP="00F63191">
      <w:pPr>
        <w:spacing w:after="0" w:line="240" w:lineRule="auto"/>
      </w:pPr>
      <w:r>
        <w:separator/>
      </w:r>
    </w:p>
  </w:endnote>
  <w:endnote w:type="continuationSeparator" w:id="0">
    <w:p w:rsidR="007E0395" w:rsidRDefault="007E0395"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C8" w:rsidRDefault="00A26EC8">
    <w:pPr>
      <w:pStyle w:val="Footer"/>
    </w:pPr>
    <w:r>
      <w:t>09/30/14</w:t>
    </w:r>
  </w:p>
  <w:p w:rsidR="00A26EC8" w:rsidRDefault="00A26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395" w:rsidRDefault="007E0395" w:rsidP="00F63191">
      <w:pPr>
        <w:spacing w:after="0" w:line="240" w:lineRule="auto"/>
      </w:pPr>
      <w:r>
        <w:separator/>
      </w:r>
    </w:p>
  </w:footnote>
  <w:footnote w:type="continuationSeparator" w:id="0">
    <w:p w:rsidR="007E0395" w:rsidRDefault="007E0395"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91" w:rsidRPr="00A36AF5" w:rsidRDefault="00F63191" w:rsidP="00F63191">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0CB4"/>
    <w:multiLevelType w:val="hybridMultilevel"/>
    <w:tmpl w:val="38DE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754E68"/>
    <w:multiLevelType w:val="hybridMultilevel"/>
    <w:tmpl w:val="27DA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76A8C"/>
    <w:multiLevelType w:val="hybridMultilevel"/>
    <w:tmpl w:val="DF76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F54B8"/>
    <w:multiLevelType w:val="hybridMultilevel"/>
    <w:tmpl w:val="BA22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DC186A"/>
    <w:multiLevelType w:val="hybridMultilevel"/>
    <w:tmpl w:val="EE84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6C213F"/>
    <w:multiLevelType w:val="hybridMultilevel"/>
    <w:tmpl w:val="6316A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10"/>
  </w:num>
  <w:num w:numId="5">
    <w:abstractNumId w:val="3"/>
  </w:num>
  <w:num w:numId="6">
    <w:abstractNumId w:val="8"/>
  </w:num>
  <w:num w:numId="7">
    <w:abstractNumId w:val="14"/>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0"/>
  </w:num>
  <w:num w:numId="14">
    <w:abstractNumId w:val="1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15974"/>
    <w:rsid w:val="00053586"/>
    <w:rsid w:val="000D1199"/>
    <w:rsid w:val="000D28C2"/>
    <w:rsid w:val="000D5A2D"/>
    <w:rsid w:val="000E7EED"/>
    <w:rsid w:val="00100A2F"/>
    <w:rsid w:val="00107C1A"/>
    <w:rsid w:val="00110383"/>
    <w:rsid w:val="0011709A"/>
    <w:rsid w:val="001401D3"/>
    <w:rsid w:val="00165D76"/>
    <w:rsid w:val="001B0C38"/>
    <w:rsid w:val="001D6BEA"/>
    <w:rsid w:val="001F581E"/>
    <w:rsid w:val="00245754"/>
    <w:rsid w:val="0027019B"/>
    <w:rsid w:val="00271E53"/>
    <w:rsid w:val="00276232"/>
    <w:rsid w:val="002845C2"/>
    <w:rsid w:val="0032246B"/>
    <w:rsid w:val="00355A07"/>
    <w:rsid w:val="00356CF4"/>
    <w:rsid w:val="00360299"/>
    <w:rsid w:val="00375652"/>
    <w:rsid w:val="00383516"/>
    <w:rsid w:val="003844DB"/>
    <w:rsid w:val="00394755"/>
    <w:rsid w:val="003E684D"/>
    <w:rsid w:val="003F4E8D"/>
    <w:rsid w:val="00416E44"/>
    <w:rsid w:val="004876A2"/>
    <w:rsid w:val="0049609C"/>
    <w:rsid w:val="00502BE4"/>
    <w:rsid w:val="00506BC5"/>
    <w:rsid w:val="0052689E"/>
    <w:rsid w:val="00536799"/>
    <w:rsid w:val="005802A0"/>
    <w:rsid w:val="00587099"/>
    <w:rsid w:val="005A210A"/>
    <w:rsid w:val="005B79DD"/>
    <w:rsid w:val="005C70A1"/>
    <w:rsid w:val="005F4D43"/>
    <w:rsid w:val="006B32EF"/>
    <w:rsid w:val="006C7F2E"/>
    <w:rsid w:val="00717371"/>
    <w:rsid w:val="00736B25"/>
    <w:rsid w:val="00743628"/>
    <w:rsid w:val="00760D27"/>
    <w:rsid w:val="007B363B"/>
    <w:rsid w:val="007C104F"/>
    <w:rsid w:val="007C728B"/>
    <w:rsid w:val="007C7C85"/>
    <w:rsid w:val="007E0395"/>
    <w:rsid w:val="007E70DD"/>
    <w:rsid w:val="007F1266"/>
    <w:rsid w:val="007F675B"/>
    <w:rsid w:val="007F7C07"/>
    <w:rsid w:val="008177EF"/>
    <w:rsid w:val="00823868"/>
    <w:rsid w:val="00827557"/>
    <w:rsid w:val="0088642E"/>
    <w:rsid w:val="00886E0E"/>
    <w:rsid w:val="008A5405"/>
    <w:rsid w:val="008D1A8E"/>
    <w:rsid w:val="008E68F5"/>
    <w:rsid w:val="008F249E"/>
    <w:rsid w:val="00953EC0"/>
    <w:rsid w:val="00956F2B"/>
    <w:rsid w:val="00965A2A"/>
    <w:rsid w:val="00967948"/>
    <w:rsid w:val="00994A41"/>
    <w:rsid w:val="00996DD5"/>
    <w:rsid w:val="009C6EA3"/>
    <w:rsid w:val="009F7E66"/>
    <w:rsid w:val="00A029D7"/>
    <w:rsid w:val="00A11BD9"/>
    <w:rsid w:val="00A26EC8"/>
    <w:rsid w:val="00A36AF5"/>
    <w:rsid w:val="00A82574"/>
    <w:rsid w:val="00AC3A97"/>
    <w:rsid w:val="00AD706B"/>
    <w:rsid w:val="00AF3F76"/>
    <w:rsid w:val="00B05CBF"/>
    <w:rsid w:val="00B20462"/>
    <w:rsid w:val="00B52FF9"/>
    <w:rsid w:val="00B546CF"/>
    <w:rsid w:val="00B65D92"/>
    <w:rsid w:val="00BA61F1"/>
    <w:rsid w:val="00BA7796"/>
    <w:rsid w:val="00BC4643"/>
    <w:rsid w:val="00C01E6F"/>
    <w:rsid w:val="00C41631"/>
    <w:rsid w:val="00C74E62"/>
    <w:rsid w:val="00C86C48"/>
    <w:rsid w:val="00C9758A"/>
    <w:rsid w:val="00CA4C08"/>
    <w:rsid w:val="00CC28BC"/>
    <w:rsid w:val="00CD7069"/>
    <w:rsid w:val="00D1777E"/>
    <w:rsid w:val="00D63CD3"/>
    <w:rsid w:val="00DA1196"/>
    <w:rsid w:val="00DA798A"/>
    <w:rsid w:val="00DD1C68"/>
    <w:rsid w:val="00DE660A"/>
    <w:rsid w:val="00E02822"/>
    <w:rsid w:val="00E43145"/>
    <w:rsid w:val="00EA4B83"/>
    <w:rsid w:val="00EF333D"/>
    <w:rsid w:val="00F05C01"/>
    <w:rsid w:val="00F069C3"/>
    <w:rsid w:val="00F06C5E"/>
    <w:rsid w:val="00F501CB"/>
    <w:rsid w:val="00F63191"/>
    <w:rsid w:val="00F64CD1"/>
    <w:rsid w:val="00F76673"/>
    <w:rsid w:val="00F927B0"/>
    <w:rsid w:val="00FE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paragraph" w:customStyle="1" w:styleId="Default">
    <w:name w:val="Default"/>
    <w:rsid w:val="001F581E"/>
    <w:pPr>
      <w:autoSpaceDE w:val="0"/>
      <w:autoSpaceDN w:val="0"/>
      <w:adjustRightInd w:val="0"/>
      <w:spacing w:after="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9609C"/>
    <w:rPr>
      <w:color w:val="800080" w:themeColor="followedHyperlink"/>
      <w:u w:val="single"/>
    </w:rPr>
  </w:style>
  <w:style w:type="paragraph" w:styleId="ListParagraph">
    <w:name w:val="List Paragraph"/>
    <w:basedOn w:val="Normal"/>
    <w:uiPriority w:val="34"/>
    <w:qFormat/>
    <w:rsid w:val="00EA4B83"/>
    <w:pPr>
      <w:spacing w:after="0" w:line="240" w:lineRule="auto"/>
      <w:ind w:left="720"/>
      <w:contextualSpacing/>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paragraph" w:customStyle="1" w:styleId="Default">
    <w:name w:val="Default"/>
    <w:rsid w:val="001F581E"/>
    <w:pPr>
      <w:autoSpaceDE w:val="0"/>
      <w:autoSpaceDN w:val="0"/>
      <w:adjustRightInd w:val="0"/>
      <w:spacing w:after="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9609C"/>
    <w:rPr>
      <w:color w:val="800080" w:themeColor="followedHyperlink"/>
      <w:u w:val="single"/>
    </w:rPr>
  </w:style>
  <w:style w:type="paragraph" w:styleId="ListParagraph">
    <w:name w:val="List Paragraph"/>
    <w:basedOn w:val="Normal"/>
    <w:uiPriority w:val="34"/>
    <w:qFormat/>
    <w:rsid w:val="00EA4B83"/>
    <w:pPr>
      <w:spacing w:after="0" w:line="240" w:lineRule="auto"/>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424693383">
      <w:bodyDiv w:val="1"/>
      <w:marLeft w:val="0"/>
      <w:marRight w:val="0"/>
      <w:marTop w:val="0"/>
      <w:marBottom w:val="0"/>
      <w:divBdr>
        <w:top w:val="none" w:sz="0" w:space="0" w:color="auto"/>
        <w:left w:val="none" w:sz="0" w:space="0" w:color="auto"/>
        <w:bottom w:val="none" w:sz="0" w:space="0" w:color="auto"/>
        <w:right w:val="none" w:sz="0" w:space="0" w:color="auto"/>
      </w:divBdr>
    </w:div>
    <w:div w:id="816579629">
      <w:bodyDiv w:val="1"/>
      <w:marLeft w:val="0"/>
      <w:marRight w:val="0"/>
      <w:marTop w:val="0"/>
      <w:marBottom w:val="0"/>
      <w:divBdr>
        <w:top w:val="none" w:sz="0" w:space="0" w:color="auto"/>
        <w:left w:val="none" w:sz="0" w:space="0" w:color="auto"/>
        <w:bottom w:val="none" w:sz="0" w:space="0" w:color="auto"/>
        <w:right w:val="none" w:sz="0" w:space="0" w:color="auto"/>
      </w:divBdr>
    </w:div>
    <w:div w:id="1051733807">
      <w:bodyDiv w:val="1"/>
      <w:marLeft w:val="0"/>
      <w:marRight w:val="0"/>
      <w:marTop w:val="0"/>
      <w:marBottom w:val="0"/>
      <w:divBdr>
        <w:top w:val="none" w:sz="0" w:space="0" w:color="auto"/>
        <w:left w:val="none" w:sz="0" w:space="0" w:color="auto"/>
        <w:bottom w:val="none" w:sz="0" w:space="0" w:color="auto"/>
        <w:right w:val="none" w:sz="0" w:space="0" w:color="auto"/>
      </w:divBdr>
    </w:div>
    <w:div w:id="1337613820">
      <w:bodyDiv w:val="1"/>
      <w:marLeft w:val="0"/>
      <w:marRight w:val="0"/>
      <w:marTop w:val="0"/>
      <w:marBottom w:val="0"/>
      <w:divBdr>
        <w:top w:val="none" w:sz="0" w:space="0" w:color="auto"/>
        <w:left w:val="none" w:sz="0" w:space="0" w:color="auto"/>
        <w:bottom w:val="none" w:sz="0" w:space="0" w:color="auto"/>
        <w:right w:val="none" w:sz="0" w:space="0" w:color="auto"/>
      </w:divBdr>
    </w:div>
    <w:div w:id="1705640228">
      <w:bodyDiv w:val="1"/>
      <w:marLeft w:val="0"/>
      <w:marRight w:val="0"/>
      <w:marTop w:val="0"/>
      <w:marBottom w:val="0"/>
      <w:divBdr>
        <w:top w:val="none" w:sz="0" w:space="0" w:color="auto"/>
        <w:left w:val="none" w:sz="0" w:space="0" w:color="auto"/>
        <w:bottom w:val="none" w:sz="0" w:space="0" w:color="auto"/>
        <w:right w:val="none" w:sz="0" w:space="0" w:color="auto"/>
      </w:divBdr>
    </w:div>
    <w:div w:id="181024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c.state.tx.us/1115-Waiver-Guidelin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tmservic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hsc.state.tx.us/1115-Waiver-Guideline.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mh.mo.gov/docs/mentalillness/DLA20Youth.pdf" TargetMode="External"/><Relationship Id="rId4" Type="http://schemas.microsoft.com/office/2007/relationships/stylesWithEffects" Target="stylesWithEffects.xml"/><Relationship Id="rId9" Type="http://schemas.openxmlformats.org/officeDocument/2006/relationships/hyperlink" Target="http://www.thenationalcouncil.org/galleries/resources-services%20files/DLA%20Sample.pdf" TargetMode="External"/><Relationship Id="rId14" Type="http://schemas.openxmlformats.org/officeDocument/2006/relationships/hyperlink" Target="http://www.hhsc.state.tx.us/1115-Waiver-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7F22-8D9E-49FF-BBEA-2306C7B0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2</cp:revision>
  <dcterms:created xsi:type="dcterms:W3CDTF">2014-09-30T21:11:00Z</dcterms:created>
  <dcterms:modified xsi:type="dcterms:W3CDTF">2014-09-30T21:11:00Z</dcterms:modified>
</cp:coreProperties>
</file>