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69EFE500" w:rsidR="00AD706B" w:rsidRDefault="00AD706B" w:rsidP="00AD706B">
      <w:pPr>
        <w:pStyle w:val="Heading1"/>
      </w:pPr>
      <w:r>
        <w:t>IT-</w:t>
      </w:r>
      <w:r w:rsidR="00C07E54">
        <w:t>1</w:t>
      </w:r>
      <w:r w:rsidR="00193811">
        <w:t>.4</w:t>
      </w:r>
      <w:r>
        <w:t xml:space="preserve">:  </w:t>
      </w:r>
      <w:r w:rsidR="00C07E54" w:rsidRPr="00C07E54">
        <w:t xml:space="preserve">Annual monitoring for patients on persistent medications - </w:t>
      </w:r>
      <w:r w:rsidR="00193811">
        <w:t>Diuretic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14:paraId="780D73B5" w14:textId="77777777" w:rsidTr="00DF12D5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780D73B4" w14:textId="1217A2A5" w:rsidR="00AD706B" w:rsidRPr="008779F5" w:rsidRDefault="00642300" w:rsidP="0019381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IT-1.4 </w:t>
            </w:r>
            <w:r w:rsidR="00284634" w:rsidRPr="00284634">
              <w:rPr>
                <w:b/>
              </w:rPr>
              <w:t xml:space="preserve">Annual monitoring for patients on persistent medications - </w:t>
            </w:r>
            <w:r w:rsidR="00193811">
              <w:rPr>
                <w:b/>
              </w:rPr>
              <w:t>Diuretic</w:t>
            </w:r>
          </w:p>
        </w:tc>
      </w:tr>
      <w:tr w:rsidR="00AD706B" w14:paraId="780D73B8" w14:textId="77777777" w:rsidTr="00DF12D5">
        <w:tc>
          <w:tcPr>
            <w:tcW w:w="280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68" w:type="dxa"/>
          </w:tcPr>
          <w:p w14:paraId="780D73B7" w14:textId="6F4D5802" w:rsidR="00AD706B" w:rsidRDefault="00A124EE" w:rsidP="00193811">
            <w:pPr>
              <w:pStyle w:val="NoSpacing"/>
            </w:pPr>
            <w:r>
              <w:t>P</w:t>
            </w:r>
            <w:r w:rsidRPr="00A124EE">
              <w:t xml:space="preserve">ercentage of </w:t>
            </w:r>
            <w:r>
              <w:t>patients</w:t>
            </w:r>
            <w:r w:rsidRPr="00A124EE">
              <w:t xml:space="preserve"> 18 years of age and older who received at least 180 treatment days of </w:t>
            </w:r>
            <w:r w:rsidR="00A332FD">
              <w:t xml:space="preserve">a </w:t>
            </w:r>
            <w:r w:rsidR="00193811">
              <w:t>diuretic</w:t>
            </w:r>
            <w:r w:rsidRPr="00A124EE">
              <w:t xml:space="preserve"> in the measurement year and had at least one serum potassium and either a serum creatinine or a blood urea nitrogen therapeutic monitoring test in the measurement year.</w:t>
            </w:r>
          </w:p>
        </w:tc>
      </w:tr>
      <w:tr w:rsidR="00AD706B" w14:paraId="780D73BB" w14:textId="77777777" w:rsidTr="00DF12D5">
        <w:tc>
          <w:tcPr>
            <w:tcW w:w="280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68" w:type="dxa"/>
          </w:tcPr>
          <w:p w14:paraId="780D73BA" w14:textId="62460292" w:rsidR="00AD706B" w:rsidRDefault="00A124EE" w:rsidP="00B05CBF">
            <w:pPr>
              <w:pStyle w:val="NoSpacing"/>
            </w:pPr>
            <w:r>
              <w:t>Not applicable</w:t>
            </w:r>
          </w:p>
        </w:tc>
      </w:tr>
      <w:tr w:rsidR="00AD706B" w14:paraId="780D73BE" w14:textId="77777777" w:rsidTr="00DF12D5">
        <w:tc>
          <w:tcPr>
            <w:tcW w:w="280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768" w:type="dxa"/>
          </w:tcPr>
          <w:p w14:paraId="780D73BD" w14:textId="6779D3A8" w:rsidR="00AD706B" w:rsidRPr="00631E85" w:rsidRDefault="00A124EE" w:rsidP="00A374B8">
            <w:pPr>
              <w:pStyle w:val="NoSpacing"/>
            </w:pPr>
            <w:r>
              <w:t>National Committee for Quality Assurance</w:t>
            </w:r>
          </w:p>
        </w:tc>
      </w:tr>
      <w:tr w:rsidR="00AD706B" w14:paraId="780D73C1" w14:textId="77777777" w:rsidTr="00DF12D5">
        <w:tc>
          <w:tcPr>
            <w:tcW w:w="280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768" w:type="dxa"/>
          </w:tcPr>
          <w:p w14:paraId="27B7FAED" w14:textId="541E84E8" w:rsidR="00FF171C" w:rsidRDefault="00642300" w:rsidP="00561D6D">
            <w:pPr>
              <w:pStyle w:val="NoSpacing"/>
            </w:pPr>
            <w:r w:rsidRPr="00642300">
              <w:t>http://www.qualitymeasures.ahrq.gov/content.aspx?id=47203</w:t>
            </w:r>
          </w:p>
          <w:p w14:paraId="6FC5B2A2" w14:textId="4D94CFEC" w:rsidR="00FF171C" w:rsidRDefault="00FF171C" w:rsidP="00561D6D">
            <w:pPr>
              <w:pStyle w:val="NoSpacing"/>
            </w:pPr>
            <w:r>
              <w:t>National Committee for Quality Assurance specifications</w:t>
            </w:r>
            <w:r w:rsidR="00023C97">
              <w:t xml:space="preserve"> (Table MPM-C)</w:t>
            </w:r>
            <w:r>
              <w:t>:</w:t>
            </w:r>
          </w:p>
          <w:p w14:paraId="780D73C0" w14:textId="02ACEFF2" w:rsidR="00FF171C" w:rsidRPr="00631E85" w:rsidRDefault="0045235D" w:rsidP="00561D6D">
            <w:pPr>
              <w:pStyle w:val="NoSpacing"/>
            </w:pPr>
            <w:hyperlink r:id="rId12" w:history="1">
              <w:r w:rsidR="00FF171C" w:rsidRPr="00AA27DD">
                <w:rPr>
                  <w:rStyle w:val="Hyperlink"/>
                </w:rPr>
                <w:t>http://www.ncqa.org/Portals/0/HEDISQM/HEDIS2014/NDC/MPM-C_2014%20(final).xlsx</w:t>
              </w:r>
            </w:hyperlink>
          </w:p>
        </w:tc>
      </w:tr>
      <w:tr w:rsidR="00AD706B" w14:paraId="780D73C4" w14:textId="77777777" w:rsidTr="00DF12D5">
        <w:tc>
          <w:tcPr>
            <w:tcW w:w="2808" w:type="dxa"/>
          </w:tcPr>
          <w:p w14:paraId="780D73C2" w14:textId="0E62E30C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68" w:type="dxa"/>
          </w:tcPr>
          <w:p w14:paraId="780D73C3" w14:textId="115D2C60" w:rsidR="00AD706B" w:rsidRDefault="00915733" w:rsidP="00AD706B">
            <w:pPr>
              <w:pStyle w:val="NoSpacing"/>
            </w:pPr>
            <w:r>
              <w:t>Non Stand-Alone (</w:t>
            </w:r>
            <w:r w:rsidR="00A124EE">
              <w:t>NSA</w:t>
            </w:r>
            <w:r>
              <w:t>)</w:t>
            </w:r>
          </w:p>
        </w:tc>
      </w:tr>
      <w:tr w:rsidR="00AD706B" w14:paraId="780D73C7" w14:textId="77777777" w:rsidTr="00DF12D5">
        <w:tc>
          <w:tcPr>
            <w:tcW w:w="2808" w:type="dxa"/>
          </w:tcPr>
          <w:p w14:paraId="780D73C5" w14:textId="31DD9365" w:rsidR="00AD706B" w:rsidRDefault="0062490C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768" w:type="dxa"/>
          </w:tcPr>
          <w:p w14:paraId="7C255C23" w14:textId="77777777" w:rsidR="00642300" w:rsidRDefault="00642300" w:rsidP="00642300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642300" w14:paraId="523C7E54" w14:textId="77777777" w:rsidTr="00283705">
              <w:tc>
                <w:tcPr>
                  <w:tcW w:w="1880" w:type="dxa"/>
                </w:tcPr>
                <w:p w14:paraId="404CB3C2" w14:textId="77777777" w:rsidR="00642300" w:rsidRPr="00791AAE" w:rsidRDefault="00642300" w:rsidP="00283705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5998FBDB" w14:textId="77777777" w:rsidR="00642300" w:rsidRPr="00791AAE" w:rsidRDefault="00642300" w:rsidP="00283705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5D02ED5A" w14:textId="77777777" w:rsidR="00642300" w:rsidRPr="00791AAE" w:rsidRDefault="00642300" w:rsidP="00283705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54588C02" w14:textId="77777777" w:rsidR="00642300" w:rsidRPr="00791AAE" w:rsidRDefault="00642300" w:rsidP="00283705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63FFFB4C" w14:textId="77777777" w:rsidR="00642300" w:rsidRPr="00791AAE" w:rsidRDefault="00642300" w:rsidP="00283705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6E5872E4" w14:textId="77777777" w:rsidR="00642300" w:rsidRPr="00791AAE" w:rsidRDefault="00642300" w:rsidP="00283705">
                  <w:pPr>
                    <w:pStyle w:val="NoSpacing"/>
                    <w:jc w:val="center"/>
                  </w:pPr>
                </w:p>
              </w:tc>
            </w:tr>
            <w:tr w:rsidR="00642300" w14:paraId="7AB3111D" w14:textId="77777777" w:rsidTr="00283705">
              <w:tc>
                <w:tcPr>
                  <w:tcW w:w="1880" w:type="dxa"/>
                  <w:vMerge w:val="restart"/>
                </w:tcPr>
                <w:p w14:paraId="75C72CC3" w14:textId="12172E06" w:rsidR="00642300" w:rsidRPr="00791AAE" w:rsidRDefault="00642300" w:rsidP="00283705">
                  <w:pPr>
                    <w:pStyle w:val="NoSpacing"/>
                    <w:jc w:val="center"/>
                  </w:pPr>
                  <w:r>
                    <w:t>Achievement Level</w:t>
                  </w:r>
                  <w:r w:rsidR="00D72FEC">
                    <w:t xml:space="preserve"> / Goal</w:t>
                  </w:r>
                  <w:r>
                    <w:t xml:space="preserve"> Calculations</w:t>
                  </w:r>
                </w:p>
                <w:p w14:paraId="750D2348" w14:textId="77777777" w:rsidR="00642300" w:rsidRPr="00791AAE" w:rsidRDefault="00642300" w:rsidP="00283705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140F7752" w14:textId="77777777" w:rsidR="00642300" w:rsidRDefault="00642300" w:rsidP="00283705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30614980" w14:textId="77777777" w:rsidR="00642300" w:rsidRPr="00791AAE" w:rsidRDefault="00642300" w:rsidP="00283705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1F4D7CA2" w14:textId="77777777" w:rsidR="00642300" w:rsidRPr="00791AAE" w:rsidRDefault="00642300" w:rsidP="00283705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642300" w14:paraId="485C234C" w14:textId="77777777" w:rsidTr="00283705">
              <w:tc>
                <w:tcPr>
                  <w:tcW w:w="1880" w:type="dxa"/>
                  <w:vMerge/>
                </w:tcPr>
                <w:p w14:paraId="42A48391" w14:textId="77777777" w:rsidR="00642300" w:rsidRPr="00791AAE" w:rsidRDefault="00642300" w:rsidP="00283705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3C581915" w14:textId="77777777" w:rsidR="00642300" w:rsidRDefault="00642300" w:rsidP="00283705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1AC71871" w14:textId="77777777" w:rsidR="00642300" w:rsidRPr="00791AAE" w:rsidRDefault="00642300" w:rsidP="00283705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846" w:type="dxa"/>
                </w:tcPr>
                <w:p w14:paraId="63016A69" w14:textId="77777777" w:rsidR="00642300" w:rsidRPr="00791AAE" w:rsidRDefault="00642300" w:rsidP="00283705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780D73C6" w14:textId="1C6C5EBD" w:rsidR="00AD706B" w:rsidRDefault="00AD706B" w:rsidP="00116208">
            <w:pPr>
              <w:pStyle w:val="NoSpacing"/>
            </w:pPr>
          </w:p>
        </w:tc>
      </w:tr>
      <w:tr w:rsidR="00642300" w14:paraId="79D4BE8F" w14:textId="77777777" w:rsidTr="00642300">
        <w:tc>
          <w:tcPr>
            <w:tcW w:w="2808" w:type="dxa"/>
          </w:tcPr>
          <w:p w14:paraId="396DE224" w14:textId="4E4E252D" w:rsidR="00642300" w:rsidRDefault="00642300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76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642300" w14:paraId="2314D51A" w14:textId="77777777" w:rsidTr="00283705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26F51434" w14:textId="2C120AB2" w:rsidR="00642300" w:rsidRPr="00791AAE" w:rsidRDefault="00642300" w:rsidP="003343F4">
                  <w:pPr>
                    <w:pStyle w:val="NoSpacing"/>
                    <w:jc w:val="center"/>
                  </w:pPr>
                  <w:r>
                    <w:t>NCQA Quality Compass</w:t>
                  </w:r>
                </w:p>
              </w:tc>
            </w:tr>
            <w:tr w:rsidR="00642300" w14:paraId="116ECA35" w14:textId="77777777" w:rsidTr="00283705">
              <w:tc>
                <w:tcPr>
                  <w:tcW w:w="3397" w:type="dxa"/>
                </w:tcPr>
                <w:p w14:paraId="7140017C" w14:textId="77777777" w:rsidR="00642300" w:rsidRPr="00791AAE" w:rsidRDefault="00642300" w:rsidP="00283705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3F85F758" w14:textId="77777777" w:rsidR="00642300" w:rsidRPr="00791AAE" w:rsidRDefault="00642300" w:rsidP="00283705">
                  <w:pPr>
                    <w:pStyle w:val="NoSpacing"/>
                    <w:jc w:val="center"/>
                  </w:pPr>
                  <w:r>
                    <w:t>91.30%</w:t>
                  </w:r>
                </w:p>
              </w:tc>
            </w:tr>
            <w:tr w:rsidR="00642300" w14:paraId="0F2C5A3F" w14:textId="77777777" w:rsidTr="00283705">
              <w:tc>
                <w:tcPr>
                  <w:tcW w:w="3397" w:type="dxa"/>
                </w:tcPr>
                <w:p w14:paraId="6250018F" w14:textId="77777777" w:rsidR="00642300" w:rsidRPr="00791AAE" w:rsidRDefault="00642300" w:rsidP="00283705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283705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3258AE88" w14:textId="31DAD40E" w:rsidR="00642300" w:rsidRPr="00791AAE" w:rsidRDefault="00642300" w:rsidP="00642300">
                  <w:pPr>
                    <w:pStyle w:val="NoSpacing"/>
                    <w:jc w:val="center"/>
                  </w:pPr>
                  <w:r>
                    <w:t>81.35%</w:t>
                  </w:r>
                </w:p>
              </w:tc>
            </w:tr>
          </w:tbl>
          <w:p w14:paraId="47895027" w14:textId="77777777" w:rsidR="00642300" w:rsidRDefault="00642300" w:rsidP="00642300">
            <w:pPr>
              <w:pStyle w:val="NoSpacing"/>
            </w:pPr>
          </w:p>
        </w:tc>
      </w:tr>
      <w:tr w:rsidR="00AD706B" w14:paraId="780D73D0" w14:textId="77777777" w:rsidTr="00DF12D5">
        <w:tc>
          <w:tcPr>
            <w:tcW w:w="280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768" w:type="dxa"/>
          </w:tcPr>
          <w:p w14:paraId="780D73CB" w14:textId="01A88D82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0FF41F6F" w14:textId="48F9F2C0" w:rsidR="00A124EE" w:rsidRDefault="00A124EE" w:rsidP="00A124EE">
            <w:pPr>
              <w:pStyle w:val="NoSpacing"/>
              <w:numPr>
                <w:ilvl w:val="0"/>
                <w:numId w:val="9"/>
              </w:numPr>
            </w:pPr>
            <w:r w:rsidRPr="00A124EE">
              <w:t>Replac</w:t>
            </w:r>
            <w:r>
              <w:t>ed term "member" with "patient"</w:t>
            </w:r>
            <w:r w:rsidRPr="00A124EE">
              <w:t xml:space="preserve"> </w:t>
            </w:r>
          </w:p>
          <w:p w14:paraId="1815A588" w14:textId="6D5DDA8B" w:rsidR="00A124EE" w:rsidRDefault="00A124EE" w:rsidP="00A124EE">
            <w:pPr>
              <w:pStyle w:val="NoSpacing"/>
              <w:numPr>
                <w:ilvl w:val="0"/>
                <w:numId w:val="9"/>
              </w:numPr>
            </w:pPr>
            <w:r>
              <w:t>R</w:t>
            </w:r>
            <w:r w:rsidR="00517565">
              <w:t xml:space="preserve">eplaced continuous enrollment language with a requirement that the patient must have at least one outpatient encounter in the </w:t>
            </w:r>
            <w:r w:rsidR="00FF171C">
              <w:t>measurement</w:t>
            </w:r>
            <w:r w:rsidR="00253890">
              <w:t xml:space="preserve"> year</w:t>
            </w:r>
          </w:p>
          <w:p w14:paraId="6E4AB09C" w14:textId="4C7A0F44" w:rsidR="00A124EE" w:rsidRDefault="00A124EE" w:rsidP="00A124EE">
            <w:pPr>
              <w:pStyle w:val="NoSpacing"/>
              <w:numPr>
                <w:ilvl w:val="0"/>
                <w:numId w:val="9"/>
              </w:numPr>
            </w:pPr>
            <w:r>
              <w:t>R</w:t>
            </w:r>
            <w:r w:rsidRPr="00A124EE">
              <w:t xml:space="preserve">eplaced inclusion criteria with reference to refer </w:t>
            </w:r>
            <w:r>
              <w:t>to the measure specifications</w:t>
            </w:r>
          </w:p>
          <w:p w14:paraId="654C5605" w14:textId="77777777" w:rsidR="009F78A7" w:rsidRDefault="00A124EE" w:rsidP="00A124EE">
            <w:pPr>
              <w:pStyle w:val="NoSpacing"/>
              <w:numPr>
                <w:ilvl w:val="0"/>
                <w:numId w:val="9"/>
              </w:numPr>
            </w:pPr>
            <w:r>
              <w:t>R</w:t>
            </w:r>
            <w:r w:rsidRPr="00A124EE">
              <w:t>emoved references to Medicare specifications</w:t>
            </w:r>
          </w:p>
          <w:p w14:paraId="780D73CF" w14:textId="2B61D8EE" w:rsidR="0092358D" w:rsidRDefault="0092358D" w:rsidP="00A124EE">
            <w:pPr>
              <w:pStyle w:val="NoSpacing"/>
              <w:numPr>
                <w:ilvl w:val="0"/>
                <w:numId w:val="9"/>
              </w:numPr>
            </w:pPr>
            <w:r w:rsidRPr="0092358D">
              <w:t>Removed references to specific dates</w:t>
            </w:r>
          </w:p>
        </w:tc>
      </w:tr>
      <w:tr w:rsidR="00AD706B" w14:paraId="780D73D3" w14:textId="77777777" w:rsidTr="00DF12D5">
        <w:tc>
          <w:tcPr>
            <w:tcW w:w="280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14:paraId="280F45FD" w14:textId="15D906B8" w:rsidR="00517565" w:rsidRDefault="00A124EE" w:rsidP="00193811">
            <w:pPr>
              <w:pStyle w:val="NoSpacing"/>
            </w:pPr>
            <w:r>
              <w:t>Patients</w:t>
            </w:r>
            <w:r w:rsidR="00517565">
              <w:t>*</w:t>
            </w:r>
            <w:r>
              <w:t xml:space="preserve"> 18 years of age and older as of the last day of the measurement year on persistent </w:t>
            </w:r>
            <w:r w:rsidR="00193811">
              <w:t>diuretic</w:t>
            </w:r>
            <w:r w:rsidR="00A332FD">
              <w:t>s</w:t>
            </w:r>
            <w:r w:rsidR="00517565">
              <w:t>**</w:t>
            </w:r>
            <w:r>
              <w:t>-- defined as patients who received at least 180 treatment days</w:t>
            </w:r>
            <w:r w:rsidR="00517565">
              <w:t>***</w:t>
            </w:r>
            <w:r>
              <w:t xml:space="preserve"> of ambulatory medication during the measurement year</w:t>
            </w:r>
            <w:r w:rsidR="00517565">
              <w:t>.</w:t>
            </w:r>
          </w:p>
          <w:p w14:paraId="780D73D2" w14:textId="210447C6" w:rsidR="00AD706B" w:rsidRPr="009F7E66" w:rsidRDefault="00AD706B" w:rsidP="00517565">
            <w:pPr>
              <w:pStyle w:val="note"/>
              <w:spacing w:before="0" w:beforeAutospacing="0" w:after="0" w:afterAutospacing="0"/>
            </w:pPr>
          </w:p>
        </w:tc>
      </w:tr>
      <w:tr w:rsidR="00787D45" w14:paraId="780D73D6" w14:textId="77777777" w:rsidTr="00DF12D5">
        <w:trPr>
          <w:trHeight w:val="728"/>
        </w:trPr>
        <w:tc>
          <w:tcPr>
            <w:tcW w:w="2808" w:type="dxa"/>
          </w:tcPr>
          <w:p w14:paraId="780D73D4" w14:textId="6CFCB221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Denominator Inclusions</w:t>
            </w:r>
          </w:p>
        </w:tc>
        <w:tc>
          <w:tcPr>
            <w:tcW w:w="6768" w:type="dxa"/>
          </w:tcPr>
          <w:p w14:paraId="54356BAC" w14:textId="77777777" w:rsidR="003B5D5B" w:rsidRPr="00253890" w:rsidRDefault="003B5D5B" w:rsidP="003B5D5B">
            <w:pPr>
              <w:pStyle w:val="note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124EE">
              <w:rPr>
                <w:rStyle w:val="Strong"/>
                <w:rFonts w:asciiTheme="minorHAnsi" w:hAnsiTheme="minorHAnsi"/>
                <w:sz w:val="22"/>
                <w:szCs w:val="22"/>
              </w:rPr>
              <w:t>Note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>: Medications dispensed in the year prior to the measurement year must be counted toward the 180 treatment days.</w:t>
            </w:r>
          </w:p>
          <w:p w14:paraId="2070847F" w14:textId="77777777" w:rsidR="003B5D5B" w:rsidRDefault="003B5D5B" w:rsidP="003B5D5B">
            <w:pPr>
              <w:pStyle w:val="NoSpacing"/>
            </w:pPr>
          </w:p>
          <w:p w14:paraId="1797BBE7" w14:textId="77777777" w:rsidR="003B5D5B" w:rsidRDefault="003B5D5B" w:rsidP="003B5D5B">
            <w:pPr>
              <w:pStyle w:val="note"/>
              <w:spacing w:before="0" w:beforeAutospacing="0" w:after="0" w:afterAutospacing="0"/>
            </w:pPr>
            <w:r w:rsidRPr="00A124EE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Patients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 xml:space="preserve"> must have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had at least one outpatient encounter in the measurement year. </w:t>
            </w:r>
          </w:p>
          <w:p w14:paraId="14D32E37" w14:textId="23B690C5" w:rsidR="003B5D5B" w:rsidRPr="0062490C" w:rsidRDefault="003B5D5B" w:rsidP="00DF12D5">
            <w:pPr>
              <w:pStyle w:val="note"/>
              <w:spacing w:before="0" w:beforeAutospacing="0" w:after="0" w:afterAutospacing="0"/>
            </w:pPr>
            <w:r w:rsidRPr="00D83225">
              <w:rPr>
                <w:rFonts w:asciiTheme="minorHAnsi" w:hAnsiTheme="minorHAnsi"/>
                <w:sz w:val="22"/>
                <w:szCs w:val="22"/>
              </w:rPr>
              <w:t xml:space="preserve">**Refer to Table MPM-C in the original measure documentation to identify diuretics. </w:t>
            </w:r>
            <w:r>
              <w:rPr>
                <w:rFonts w:asciiTheme="minorHAnsi" w:hAnsiTheme="minorHAnsi"/>
                <w:sz w:val="22"/>
                <w:szCs w:val="22"/>
              </w:rPr>
              <w:t>Patients</w:t>
            </w:r>
            <w:r w:rsidRPr="00D83225">
              <w:rPr>
                <w:rFonts w:asciiTheme="minorHAnsi" w:hAnsiTheme="minorHAnsi"/>
                <w:sz w:val="22"/>
                <w:szCs w:val="22"/>
              </w:rPr>
              <w:t xml:space="preserve"> may switch therapy with any medication listed in Table MPM-C during the measurement year and have the </w:t>
            </w:r>
            <w:proofErr w:type="spellStart"/>
            <w:r w:rsidRPr="00D83225">
              <w:rPr>
                <w:rFonts w:asciiTheme="minorHAnsi" w:hAnsiTheme="minorHAnsi"/>
                <w:sz w:val="22"/>
                <w:szCs w:val="22"/>
              </w:rPr>
              <w:t>days</w:t>
            </w:r>
            <w:proofErr w:type="spellEnd"/>
            <w:r w:rsidRPr="00D83225">
              <w:rPr>
                <w:rFonts w:asciiTheme="minorHAnsi" w:hAnsiTheme="minorHAnsi"/>
                <w:sz w:val="22"/>
                <w:szCs w:val="22"/>
              </w:rPr>
              <w:t xml:space="preserve"> supply for those medications count toward the total 180 treatment days.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Refer to National Committee on Quality Assurance hyperlink above to access Table MPM-C.</w:t>
            </w:r>
          </w:p>
          <w:p w14:paraId="71EB8283" w14:textId="4207E881" w:rsidR="00642300" w:rsidRDefault="003B5D5B" w:rsidP="00DF12D5">
            <w:pPr>
              <w:pStyle w:val="no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124EE">
              <w:rPr>
                <w:rFonts w:asciiTheme="minorHAnsi" w:hAnsiTheme="minorHAnsi"/>
                <w:sz w:val="22"/>
                <w:szCs w:val="22"/>
              </w:rPr>
              <w:t>**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A124EE">
              <w:rPr>
                <w:rStyle w:val="Emphasis"/>
                <w:rFonts w:asciiTheme="minorHAnsi" w:hAnsiTheme="minorHAnsi"/>
                <w:sz w:val="22"/>
                <w:szCs w:val="22"/>
              </w:rPr>
              <w:t>Treatment Days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 xml:space="preserve"> are the actual number of calendar days covered with prescriptions within the measurement year (i.e., a prescription of 90 </w:t>
            </w:r>
            <w:proofErr w:type="spellStart"/>
            <w:r w:rsidRPr="00A124EE">
              <w:rPr>
                <w:rFonts w:asciiTheme="minorHAnsi" w:hAnsiTheme="minorHAnsi"/>
                <w:sz w:val="22"/>
                <w:szCs w:val="22"/>
              </w:rPr>
              <w:t>days</w:t>
            </w:r>
            <w:proofErr w:type="spellEnd"/>
            <w:r w:rsidRPr="00A124EE">
              <w:rPr>
                <w:rFonts w:asciiTheme="minorHAnsi" w:hAnsiTheme="minorHAnsi"/>
                <w:sz w:val="22"/>
                <w:szCs w:val="22"/>
              </w:rPr>
              <w:t xml:space="preserve"> supply dispensed on </w:t>
            </w:r>
            <w:r>
              <w:rPr>
                <w:rFonts w:asciiTheme="minorHAnsi" w:hAnsiTheme="minorHAnsi"/>
                <w:sz w:val="22"/>
                <w:szCs w:val="22"/>
              </w:rPr>
              <w:t>the first day of month 12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 xml:space="preserve"> of the measurement year counts as 30 treatment days). Sum the </w:t>
            </w:r>
            <w:proofErr w:type="spellStart"/>
            <w:r w:rsidRPr="00A124EE">
              <w:rPr>
                <w:rFonts w:asciiTheme="minorHAnsi" w:hAnsiTheme="minorHAnsi"/>
                <w:sz w:val="22"/>
                <w:szCs w:val="22"/>
              </w:rPr>
              <w:t>days</w:t>
            </w:r>
            <w:proofErr w:type="spellEnd"/>
            <w:r w:rsidRPr="00A124EE">
              <w:rPr>
                <w:rFonts w:asciiTheme="minorHAnsi" w:hAnsiTheme="minorHAnsi"/>
                <w:sz w:val="22"/>
                <w:szCs w:val="22"/>
              </w:rPr>
              <w:t xml:space="preserve"> supply for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ll medications and subtract any </w:t>
            </w:r>
            <w:proofErr w:type="gramStart"/>
            <w:r w:rsidRPr="00A124EE">
              <w:rPr>
                <w:rFonts w:asciiTheme="minorHAnsi" w:hAnsiTheme="minorHAnsi"/>
                <w:sz w:val="22"/>
                <w:szCs w:val="22"/>
              </w:rPr>
              <w:t>days</w:t>
            </w:r>
            <w:proofErr w:type="gramEnd"/>
            <w:r w:rsidRPr="00A124EE">
              <w:rPr>
                <w:rFonts w:asciiTheme="minorHAnsi" w:hAnsiTheme="minorHAnsi"/>
                <w:sz w:val="22"/>
                <w:szCs w:val="22"/>
              </w:rPr>
              <w:t xml:space="preserve"> supply that extends beyond </w:t>
            </w:r>
            <w:r>
              <w:rPr>
                <w:rFonts w:asciiTheme="minorHAnsi" w:hAnsiTheme="minorHAnsi"/>
                <w:sz w:val="22"/>
                <w:szCs w:val="22"/>
              </w:rPr>
              <w:t>the last day</w:t>
            </w:r>
            <w:r w:rsidRPr="00A124EE">
              <w:rPr>
                <w:rFonts w:asciiTheme="minorHAnsi" w:hAnsiTheme="minorHAnsi"/>
                <w:sz w:val="22"/>
                <w:szCs w:val="22"/>
              </w:rPr>
              <w:t xml:space="preserve"> of the measurement year.</w:t>
            </w:r>
            <w:r w:rsidR="0064230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1BF864" w14:textId="72FAC742" w:rsidR="00642300" w:rsidRDefault="00642300" w:rsidP="00DF12D5">
            <w:pPr>
              <w:pStyle w:val="no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42300">
              <w:rPr>
                <w:rFonts w:asciiTheme="minorHAnsi" w:hAnsiTheme="minorHAnsi"/>
                <w:sz w:val="22"/>
                <w:szCs w:val="22"/>
              </w:rPr>
              <w:t xml:space="preserve">Medications dispensed in the year prior to the measurement year must be counted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toward the 180 treatment days. </w:t>
            </w:r>
          </w:p>
          <w:p w14:paraId="780D73D5" w14:textId="446F7C52" w:rsidR="00787D45" w:rsidRPr="00517565" w:rsidRDefault="00642300" w:rsidP="00517565">
            <w:pPr>
              <w:pStyle w:val="note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42300">
              <w:rPr>
                <w:rFonts w:asciiTheme="minorHAnsi" w:hAnsiTheme="minorHAnsi"/>
                <w:sz w:val="22"/>
                <w:szCs w:val="22"/>
              </w:rPr>
              <w:t xml:space="preserve">Members may switch therapy with any medication listed in Table MPM-C during the measurement year and have the </w:t>
            </w:r>
            <w:proofErr w:type="spellStart"/>
            <w:r w:rsidRPr="00642300">
              <w:rPr>
                <w:rFonts w:asciiTheme="minorHAnsi" w:hAnsiTheme="minorHAnsi"/>
                <w:sz w:val="22"/>
                <w:szCs w:val="22"/>
              </w:rPr>
              <w:t>days</w:t>
            </w:r>
            <w:proofErr w:type="spellEnd"/>
            <w:r w:rsidRPr="00642300">
              <w:rPr>
                <w:rFonts w:asciiTheme="minorHAnsi" w:hAnsiTheme="minorHAnsi"/>
                <w:sz w:val="22"/>
                <w:szCs w:val="22"/>
              </w:rPr>
              <w:t xml:space="preserve"> supply for those medications count toward the total 180 treatment days.</w:t>
            </w:r>
          </w:p>
        </w:tc>
      </w:tr>
      <w:tr w:rsidR="00787D45" w14:paraId="780D73D9" w14:textId="77777777" w:rsidTr="00DF12D5">
        <w:trPr>
          <w:trHeight w:val="710"/>
        </w:trPr>
        <w:tc>
          <w:tcPr>
            <w:tcW w:w="280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768" w:type="dxa"/>
          </w:tcPr>
          <w:p w14:paraId="780D73D8" w14:textId="66640EDB" w:rsidR="00787D45" w:rsidRPr="001D6BEA" w:rsidRDefault="00A124EE" w:rsidP="006A203D">
            <w:pPr>
              <w:pStyle w:val="NoSpacing"/>
            </w:pPr>
            <w:r>
              <w:t xml:space="preserve">Exclude members who had an inpatient (acute or </w:t>
            </w:r>
            <w:proofErr w:type="spellStart"/>
            <w:r>
              <w:t>nonacute</w:t>
            </w:r>
            <w:proofErr w:type="spellEnd"/>
            <w:r>
              <w:t>) encounter during the measurement year. (</w:t>
            </w:r>
            <w:r>
              <w:rPr>
                <w:rStyle w:val="Emphasis"/>
              </w:rPr>
              <w:t>Optional</w:t>
            </w:r>
            <w:r>
              <w:t>)</w:t>
            </w:r>
          </w:p>
        </w:tc>
      </w:tr>
      <w:tr w:rsidR="00D63CD3" w14:paraId="780D73DF" w14:textId="77777777" w:rsidTr="00DF12D5">
        <w:tc>
          <w:tcPr>
            <w:tcW w:w="280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76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FF171C" w14:paraId="780D73E2" w14:textId="77777777" w:rsidTr="00DF12D5">
        <w:tc>
          <w:tcPr>
            <w:tcW w:w="2808" w:type="dxa"/>
          </w:tcPr>
          <w:p w14:paraId="780D73E0" w14:textId="77777777" w:rsidR="00FF171C" w:rsidRPr="00717546" w:rsidRDefault="00FF171C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768" w:type="dxa"/>
          </w:tcPr>
          <w:p w14:paraId="6B4AA90C" w14:textId="05D3C1D4" w:rsidR="00FF171C" w:rsidRDefault="00FF171C" w:rsidP="0080458A">
            <w:pPr>
              <w:pStyle w:val="NoSpacing"/>
            </w:pPr>
            <w:r>
              <w:t xml:space="preserve">Patients from the denominator with at least one serum potassium and </w:t>
            </w:r>
            <w:r>
              <w:lastRenderedPageBreak/>
              <w:t xml:space="preserve">either a serum creatinine or a blood urea nitrogen therapeutic monitoring test in the measurement year </w:t>
            </w:r>
            <w:bookmarkStart w:id="0" w:name="_GoBack"/>
            <w:bookmarkEnd w:id="0"/>
          </w:p>
          <w:p w14:paraId="780D73E1" w14:textId="08E8CD40" w:rsidR="00FF171C" w:rsidRPr="009F7E66" w:rsidRDefault="00FF171C" w:rsidP="00AF103E">
            <w:pPr>
              <w:pStyle w:val="NoSpacing"/>
            </w:pPr>
          </w:p>
        </w:tc>
      </w:tr>
      <w:tr w:rsidR="00FF171C" w14:paraId="780D73E5" w14:textId="77777777" w:rsidTr="00DF12D5">
        <w:tc>
          <w:tcPr>
            <w:tcW w:w="2808" w:type="dxa"/>
          </w:tcPr>
          <w:p w14:paraId="780D73E3" w14:textId="1A3E9C30" w:rsidR="00FF171C" w:rsidRPr="00717546" w:rsidRDefault="00FF171C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Inclusions</w:t>
            </w:r>
          </w:p>
        </w:tc>
        <w:tc>
          <w:tcPr>
            <w:tcW w:w="6768" w:type="dxa"/>
          </w:tcPr>
          <w:p w14:paraId="56912426" w14:textId="77777777" w:rsidR="003B5D5B" w:rsidRDefault="003B5D5B" w:rsidP="003B5D5B">
            <w:pPr>
              <w:pStyle w:val="NoSpacing"/>
            </w:pPr>
            <w:r>
              <w:t>The patient must meet one of the following criteria to be compliant.</w:t>
            </w:r>
          </w:p>
          <w:p w14:paraId="1924A56A" w14:textId="77777777" w:rsidR="003B5D5B" w:rsidRDefault="003B5D5B" w:rsidP="003B5D5B">
            <w:pPr>
              <w:pStyle w:val="NoSpacing"/>
            </w:pPr>
          </w:p>
          <w:p w14:paraId="2DEAA4A8" w14:textId="77777777" w:rsidR="003B5D5B" w:rsidRDefault="003B5D5B" w:rsidP="003B5D5B">
            <w:pPr>
              <w:pStyle w:val="NoSpacing"/>
              <w:numPr>
                <w:ilvl w:val="0"/>
                <w:numId w:val="12"/>
              </w:numPr>
            </w:pPr>
            <w:r>
              <w:t>A code for a lab panel test during the measurement year</w:t>
            </w:r>
          </w:p>
          <w:p w14:paraId="1DBB9002" w14:textId="77777777" w:rsidR="003B5D5B" w:rsidRDefault="003B5D5B" w:rsidP="003B5D5B">
            <w:pPr>
              <w:pStyle w:val="NoSpacing"/>
              <w:numPr>
                <w:ilvl w:val="0"/>
                <w:numId w:val="12"/>
              </w:numPr>
            </w:pPr>
            <w:r>
              <w:t>A code for a serum potassium and a code for serum creatinine during the measurement year</w:t>
            </w:r>
          </w:p>
          <w:p w14:paraId="3F906170" w14:textId="77777777" w:rsidR="003B5D5B" w:rsidRDefault="003B5D5B" w:rsidP="003B5D5B">
            <w:pPr>
              <w:pStyle w:val="NoSpacing"/>
              <w:numPr>
                <w:ilvl w:val="0"/>
                <w:numId w:val="12"/>
              </w:numPr>
            </w:pPr>
            <w:r>
              <w:t>A code for serum potassium and a code for blood urea nitrogen during the measurement year</w:t>
            </w:r>
          </w:p>
          <w:p w14:paraId="780D73E4" w14:textId="6616C85F" w:rsidR="00FF171C" w:rsidRPr="0012650D" w:rsidRDefault="003B5D5B" w:rsidP="00FF171C">
            <w:pPr>
              <w:pStyle w:val="NoSpacing"/>
              <w:rPr>
                <w:b/>
              </w:rPr>
            </w:pPr>
            <w:r w:rsidRPr="00CE2F2D">
              <w:rPr>
                <w:b/>
              </w:rPr>
              <w:t>Note:</w:t>
            </w:r>
            <w:r>
              <w:t xml:space="preserve"> The two tests do not need to occur on the same service date, only within the measurement year.</w:t>
            </w:r>
          </w:p>
        </w:tc>
      </w:tr>
      <w:tr w:rsidR="00FF171C" w14:paraId="780D73E8" w14:textId="77777777" w:rsidTr="00DF12D5">
        <w:tc>
          <w:tcPr>
            <w:tcW w:w="2808" w:type="dxa"/>
          </w:tcPr>
          <w:p w14:paraId="780D73E6" w14:textId="17C26137" w:rsidR="00FF171C" w:rsidRPr="00717546" w:rsidRDefault="00FF171C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768" w:type="dxa"/>
          </w:tcPr>
          <w:p w14:paraId="780D73E7" w14:textId="07CE7DF2" w:rsidR="00FF171C" w:rsidRPr="001D6BEA" w:rsidRDefault="00FF171C" w:rsidP="0070574E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FF171C" w14:paraId="780D73EB" w14:textId="77777777" w:rsidTr="00DF12D5">
        <w:tc>
          <w:tcPr>
            <w:tcW w:w="2808" w:type="dxa"/>
          </w:tcPr>
          <w:p w14:paraId="780D73E9" w14:textId="647F6EE7" w:rsidR="00FF171C" w:rsidRPr="00717546" w:rsidRDefault="00FF171C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768" w:type="dxa"/>
          </w:tcPr>
          <w:p w14:paraId="780D73EA" w14:textId="0CA657B5" w:rsidR="00FF171C" w:rsidRDefault="00FF171C" w:rsidP="00CD7069">
            <w:pPr>
              <w:pStyle w:val="NoSpacing"/>
            </w:pPr>
            <w:r>
              <w:t>Ambulatory</w:t>
            </w:r>
          </w:p>
        </w:tc>
      </w:tr>
      <w:tr w:rsidR="00FF171C" w14:paraId="780D73EE" w14:textId="77777777" w:rsidTr="00DF12D5">
        <w:tc>
          <w:tcPr>
            <w:tcW w:w="2808" w:type="dxa"/>
          </w:tcPr>
          <w:p w14:paraId="780D73EC" w14:textId="351F4BA9" w:rsidR="00FF171C" w:rsidRDefault="00FF171C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768" w:type="dxa"/>
          </w:tcPr>
          <w:p w14:paraId="780D73ED" w14:textId="3B8F64CB" w:rsidR="00FF171C" w:rsidRDefault="00FF171C" w:rsidP="00023C97">
            <w:pPr>
              <w:pStyle w:val="NoSpacing"/>
            </w:pPr>
            <w:r>
              <w:t>Administrative clinical data</w:t>
            </w:r>
            <w:r w:rsidR="00023C97">
              <w:t xml:space="preserve">; </w:t>
            </w:r>
            <w:r>
              <w:t>Laboratory data</w:t>
            </w:r>
            <w:r w:rsidR="00023C97">
              <w:t xml:space="preserve">; </w:t>
            </w:r>
            <w:r>
              <w:t>Pharmacy data</w:t>
            </w:r>
          </w:p>
        </w:tc>
      </w:tr>
      <w:tr w:rsidR="00642300" w14:paraId="780D740D" w14:textId="77777777" w:rsidTr="00DF12D5">
        <w:tc>
          <w:tcPr>
            <w:tcW w:w="2808" w:type="dxa"/>
          </w:tcPr>
          <w:p w14:paraId="780D73EF" w14:textId="1311C03A" w:rsidR="00642300" w:rsidRPr="00717546" w:rsidRDefault="00642300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14:paraId="309DFB4E" w14:textId="77777777" w:rsidR="00642300" w:rsidRDefault="00642300" w:rsidP="00283705">
            <w:pPr>
              <w:pStyle w:val="NoSpacing"/>
            </w:pPr>
            <w:r>
              <w:t>All denominator subsets are permissible for this outcome</w:t>
            </w:r>
          </w:p>
          <w:p w14:paraId="780D740C" w14:textId="5015825D" w:rsidR="00642300" w:rsidRDefault="00642300" w:rsidP="00915733">
            <w:pPr>
              <w:pStyle w:val="NoSpacing"/>
              <w:ind w:left="720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F8714" w14:textId="77777777" w:rsidR="00B00267" w:rsidRDefault="00B00267" w:rsidP="00F63191">
      <w:pPr>
        <w:spacing w:after="0" w:line="240" w:lineRule="auto"/>
      </w:pPr>
      <w:r>
        <w:separator/>
      </w:r>
    </w:p>
  </w:endnote>
  <w:endnote w:type="continuationSeparator" w:id="0">
    <w:p w14:paraId="28E8393E" w14:textId="77777777" w:rsidR="00B00267" w:rsidRDefault="00B00267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68201" w14:textId="5BC5D5EC" w:rsidR="00D72FEC" w:rsidRDefault="00D72FEC">
    <w:pPr>
      <w:pStyle w:val="Footer"/>
    </w:pPr>
    <w:r>
      <w:t>9/1</w:t>
    </w:r>
    <w:r w:rsidR="003343F4">
      <w:t>8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0AC4B" w14:textId="77777777" w:rsidR="00B00267" w:rsidRDefault="00B00267" w:rsidP="00F63191">
      <w:pPr>
        <w:spacing w:after="0" w:line="240" w:lineRule="auto"/>
      </w:pPr>
      <w:r>
        <w:separator/>
      </w:r>
    </w:p>
  </w:footnote>
  <w:footnote w:type="continuationSeparator" w:id="0">
    <w:p w14:paraId="7FE4330E" w14:textId="77777777" w:rsidR="00B00267" w:rsidRDefault="00B00267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777C4825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22BFC"/>
    <w:multiLevelType w:val="hybridMultilevel"/>
    <w:tmpl w:val="58203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636"/>
    <w:multiLevelType w:val="hybridMultilevel"/>
    <w:tmpl w:val="807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B7882"/>
    <w:multiLevelType w:val="hybridMultilevel"/>
    <w:tmpl w:val="F0B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23C97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93811"/>
    <w:rsid w:val="001D6BEA"/>
    <w:rsid w:val="002224F0"/>
    <w:rsid w:val="00245754"/>
    <w:rsid w:val="00253890"/>
    <w:rsid w:val="00271E53"/>
    <w:rsid w:val="002845C2"/>
    <w:rsid w:val="00284634"/>
    <w:rsid w:val="002E14AF"/>
    <w:rsid w:val="002E37CE"/>
    <w:rsid w:val="0032246B"/>
    <w:rsid w:val="003268B7"/>
    <w:rsid w:val="003343F4"/>
    <w:rsid w:val="00346B8D"/>
    <w:rsid w:val="00356CF4"/>
    <w:rsid w:val="00366D0B"/>
    <w:rsid w:val="00375652"/>
    <w:rsid w:val="00383516"/>
    <w:rsid w:val="003844DB"/>
    <w:rsid w:val="003A29C8"/>
    <w:rsid w:val="003A409E"/>
    <w:rsid w:val="003B5D5B"/>
    <w:rsid w:val="003F4E8D"/>
    <w:rsid w:val="00416E44"/>
    <w:rsid w:val="0045235D"/>
    <w:rsid w:val="00455A0C"/>
    <w:rsid w:val="004E7F26"/>
    <w:rsid w:val="00502BE4"/>
    <w:rsid w:val="00506BC5"/>
    <w:rsid w:val="00517565"/>
    <w:rsid w:val="00536799"/>
    <w:rsid w:val="00561D6D"/>
    <w:rsid w:val="005802A0"/>
    <w:rsid w:val="005857E6"/>
    <w:rsid w:val="005B79DD"/>
    <w:rsid w:val="005C70A1"/>
    <w:rsid w:val="005F4D43"/>
    <w:rsid w:val="0062490C"/>
    <w:rsid w:val="00632A67"/>
    <w:rsid w:val="00642300"/>
    <w:rsid w:val="006A203D"/>
    <w:rsid w:val="006B56DC"/>
    <w:rsid w:val="006F404F"/>
    <w:rsid w:val="0070574E"/>
    <w:rsid w:val="0071629B"/>
    <w:rsid w:val="007164C7"/>
    <w:rsid w:val="00743628"/>
    <w:rsid w:val="00760D27"/>
    <w:rsid w:val="00762162"/>
    <w:rsid w:val="00787D45"/>
    <w:rsid w:val="007C728B"/>
    <w:rsid w:val="007C7C85"/>
    <w:rsid w:val="007E0395"/>
    <w:rsid w:val="007F675B"/>
    <w:rsid w:val="007F7C07"/>
    <w:rsid w:val="00823868"/>
    <w:rsid w:val="00827557"/>
    <w:rsid w:val="00832AE9"/>
    <w:rsid w:val="008722BB"/>
    <w:rsid w:val="00874FAA"/>
    <w:rsid w:val="008779F5"/>
    <w:rsid w:val="0088642E"/>
    <w:rsid w:val="00886E0E"/>
    <w:rsid w:val="008A5405"/>
    <w:rsid w:val="008A7F8B"/>
    <w:rsid w:val="008D1A8E"/>
    <w:rsid w:val="008D68C8"/>
    <w:rsid w:val="008F0411"/>
    <w:rsid w:val="008F249E"/>
    <w:rsid w:val="00915733"/>
    <w:rsid w:val="0092358D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11BD9"/>
    <w:rsid w:val="00A124EE"/>
    <w:rsid w:val="00A332FD"/>
    <w:rsid w:val="00A82574"/>
    <w:rsid w:val="00A920D1"/>
    <w:rsid w:val="00AA0CA2"/>
    <w:rsid w:val="00AC3A97"/>
    <w:rsid w:val="00AD706B"/>
    <w:rsid w:val="00AF3A3D"/>
    <w:rsid w:val="00B00267"/>
    <w:rsid w:val="00B05CBF"/>
    <w:rsid w:val="00B20462"/>
    <w:rsid w:val="00B546CF"/>
    <w:rsid w:val="00B65D92"/>
    <w:rsid w:val="00B7257A"/>
    <w:rsid w:val="00BA61F1"/>
    <w:rsid w:val="00BC4643"/>
    <w:rsid w:val="00C01E6F"/>
    <w:rsid w:val="00C07E54"/>
    <w:rsid w:val="00C36D72"/>
    <w:rsid w:val="00C86C48"/>
    <w:rsid w:val="00C9758A"/>
    <w:rsid w:val="00CA2D3E"/>
    <w:rsid w:val="00CA4C08"/>
    <w:rsid w:val="00CC28BC"/>
    <w:rsid w:val="00CD7069"/>
    <w:rsid w:val="00CE2F2D"/>
    <w:rsid w:val="00D1777E"/>
    <w:rsid w:val="00D63CD3"/>
    <w:rsid w:val="00D72FEC"/>
    <w:rsid w:val="00D83225"/>
    <w:rsid w:val="00DB7651"/>
    <w:rsid w:val="00DE660A"/>
    <w:rsid w:val="00DF12D5"/>
    <w:rsid w:val="00E1692C"/>
    <w:rsid w:val="00E43145"/>
    <w:rsid w:val="00EB6678"/>
    <w:rsid w:val="00EE53C9"/>
    <w:rsid w:val="00EF333D"/>
    <w:rsid w:val="00F048C2"/>
    <w:rsid w:val="00F05C01"/>
    <w:rsid w:val="00F069C3"/>
    <w:rsid w:val="00F06C5E"/>
    <w:rsid w:val="00F20443"/>
    <w:rsid w:val="00F63191"/>
    <w:rsid w:val="00F64CD1"/>
    <w:rsid w:val="00F927B0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styleId="NormalWeb">
    <w:name w:val="Normal (Web)"/>
    <w:basedOn w:val="Normal"/>
    <w:uiPriority w:val="99"/>
    <w:semiHidden/>
    <w:unhideWhenUsed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4EE"/>
    <w:rPr>
      <w:b/>
      <w:bCs/>
    </w:rPr>
  </w:style>
  <w:style w:type="character" w:styleId="Emphasis">
    <w:name w:val="Emphasis"/>
    <w:basedOn w:val="DefaultParagraphFont"/>
    <w:uiPriority w:val="20"/>
    <w:qFormat/>
    <w:rsid w:val="00A124E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D68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styleId="NormalWeb">
    <w:name w:val="Normal (Web)"/>
    <w:basedOn w:val="Normal"/>
    <w:uiPriority w:val="99"/>
    <w:semiHidden/>
    <w:unhideWhenUsed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4EE"/>
    <w:rPr>
      <w:b/>
      <w:bCs/>
    </w:rPr>
  </w:style>
  <w:style w:type="character" w:styleId="Emphasis">
    <w:name w:val="Emphasis"/>
    <w:basedOn w:val="DefaultParagraphFont"/>
    <w:uiPriority w:val="20"/>
    <w:qFormat/>
    <w:rsid w:val="00A124E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D6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3828">
                  <w:marLeft w:val="0"/>
                  <w:marRight w:val="0"/>
                  <w:marTop w:val="0"/>
                  <w:marBottom w:val="0"/>
                  <w:divBdr>
                    <w:top w:val="single" w:sz="6" w:space="0" w:color="666699"/>
                    <w:left w:val="single" w:sz="6" w:space="0" w:color="666699"/>
                    <w:bottom w:val="single" w:sz="6" w:space="0" w:color="666699"/>
                    <w:right w:val="single" w:sz="6" w:space="0" w:color="666699"/>
                  </w:divBdr>
                  <w:divsChild>
                    <w:div w:id="11995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047">
                          <w:marLeft w:val="2175"/>
                          <w:marRight w:val="150"/>
                          <w:marTop w:val="0"/>
                          <w:marBottom w:val="0"/>
                          <w:divBdr>
                            <w:top w:val="single" w:sz="6" w:space="0" w:color="000066"/>
                            <w:left w:val="single" w:sz="6" w:space="0" w:color="000066"/>
                            <w:bottom w:val="single" w:sz="6" w:space="0" w:color="000066"/>
                            <w:right w:val="single" w:sz="6" w:space="0" w:color="000066"/>
                          </w:divBdr>
                          <w:divsChild>
                            <w:div w:id="129135304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7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7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cqa.org/Portals/0/HEDISQM/HEDIS2014/NDC/MPM-C_2014%20(final)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AB0CF-1AFA-48AD-943D-BB858255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2014-09-18T21:11:00Z</dcterms:created>
  <dcterms:modified xsi:type="dcterms:W3CDTF">2014-09-29T18:22:00Z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