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B8A8" w14:textId="15BA8E68" w:rsidR="00AD706B" w:rsidRDefault="00572310" w:rsidP="00AD706B">
      <w:pPr>
        <w:pStyle w:val="Heading1"/>
      </w:pPr>
      <w:r>
        <w:t>IT- 1.34</w:t>
      </w:r>
      <w:r w:rsidRPr="00572310">
        <w:t xml:space="preserve">:  Appropriate Testing for Children </w:t>
      </w:r>
      <w:proofErr w:type="gramStart"/>
      <w:r w:rsidRPr="00572310">
        <w:t>With</w:t>
      </w:r>
      <w:proofErr w:type="gramEnd"/>
      <w:r w:rsidRPr="00572310">
        <w:t xml:space="preserve"> Pharyngitis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:rsidRPr="0038256E" w14:paraId="544DB8AB" w14:textId="77777777" w:rsidTr="003002A4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544DB8A9" w14:textId="77777777" w:rsidR="00AD706B" w:rsidRPr="0038256E" w:rsidRDefault="00AD706B" w:rsidP="00A374B8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44DB8AA" w14:textId="392CA042" w:rsidR="00296283" w:rsidRPr="0038256E" w:rsidRDefault="002B6DB3" w:rsidP="00073FB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IT-1.34 </w:t>
            </w:r>
            <w:r w:rsidR="003E4B1E" w:rsidRPr="0038256E">
              <w:rPr>
                <w:b/>
              </w:rPr>
              <w:t xml:space="preserve">Appropriate testing for children with pharyngitis </w:t>
            </w:r>
          </w:p>
        </w:tc>
      </w:tr>
      <w:tr w:rsidR="00AD706B" w:rsidRPr="0038256E" w14:paraId="544DB8AE" w14:textId="77777777" w:rsidTr="003002A4">
        <w:tc>
          <w:tcPr>
            <w:tcW w:w="2718" w:type="dxa"/>
          </w:tcPr>
          <w:p w14:paraId="544DB8AC" w14:textId="77777777" w:rsidR="00AD706B" w:rsidRPr="0038256E" w:rsidRDefault="00AD706B" w:rsidP="00A374B8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544DB8AD" w14:textId="716DD094" w:rsidR="00AD706B" w:rsidRPr="0038256E" w:rsidRDefault="002B6DB3" w:rsidP="002B6DB3">
            <w:pPr>
              <w:pStyle w:val="NoSpacing"/>
            </w:pPr>
            <w:r>
              <w:t>T</w:t>
            </w:r>
            <w:r w:rsidR="003E4B1E" w:rsidRPr="0038256E">
              <w:t>he percentage of children 2 to 18 years of age who were diagnosed with pharyngitis, dispensed an antibiotic, and received a group A streptococcus (strep) test for the episode.</w:t>
            </w:r>
          </w:p>
        </w:tc>
      </w:tr>
      <w:tr w:rsidR="00AD706B" w:rsidRPr="0038256E" w14:paraId="544DB8B1" w14:textId="77777777" w:rsidTr="003002A4">
        <w:tc>
          <w:tcPr>
            <w:tcW w:w="2718" w:type="dxa"/>
          </w:tcPr>
          <w:p w14:paraId="544DB8AF" w14:textId="77777777" w:rsidR="00AD706B" w:rsidRPr="0038256E" w:rsidRDefault="00AD706B" w:rsidP="00A374B8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544DB8B0" w14:textId="764DC4C7" w:rsidR="00AD706B" w:rsidRPr="0038256E" w:rsidRDefault="0088231E" w:rsidP="00B05CBF">
            <w:pPr>
              <w:pStyle w:val="NoSpacing"/>
            </w:pPr>
            <w:r w:rsidRPr="0038256E">
              <w:t>2</w:t>
            </w:r>
          </w:p>
        </w:tc>
      </w:tr>
      <w:tr w:rsidR="00AD706B" w:rsidRPr="0038256E" w14:paraId="544DB8B4" w14:textId="77777777" w:rsidTr="003002A4">
        <w:tc>
          <w:tcPr>
            <w:tcW w:w="2718" w:type="dxa"/>
          </w:tcPr>
          <w:p w14:paraId="544DB8B2" w14:textId="77777777" w:rsidR="00AD706B" w:rsidRPr="0038256E" w:rsidRDefault="00AD706B" w:rsidP="00A374B8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544DB8B3" w14:textId="77E2D452" w:rsidR="00AD706B" w:rsidRPr="0038256E" w:rsidRDefault="0088231E" w:rsidP="00A374B8">
            <w:pPr>
              <w:pStyle w:val="NoSpacing"/>
            </w:pPr>
            <w:r w:rsidRPr="0038256E">
              <w:t>Agency for Healthcare Research and Quality</w:t>
            </w:r>
          </w:p>
        </w:tc>
      </w:tr>
      <w:tr w:rsidR="00AD706B" w:rsidRPr="0038256E" w14:paraId="544DB8B7" w14:textId="77777777" w:rsidTr="003002A4">
        <w:tc>
          <w:tcPr>
            <w:tcW w:w="2718" w:type="dxa"/>
          </w:tcPr>
          <w:p w14:paraId="544DB8B5" w14:textId="77777777" w:rsidR="00AD706B" w:rsidRPr="0038256E" w:rsidRDefault="00AD706B" w:rsidP="00A374B8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1A633418" w14:textId="27EC8EBD" w:rsidR="002B6DB3" w:rsidRDefault="002B6DB3" w:rsidP="00A374B8">
            <w:pPr>
              <w:pStyle w:val="NoSpacing"/>
            </w:pPr>
            <w:r w:rsidRPr="002B6DB3">
              <w:t>http://www.qualityforum.org/</w:t>
            </w:r>
          </w:p>
          <w:p w14:paraId="544DB8B6" w14:textId="7D8768C5" w:rsidR="00AD706B" w:rsidRPr="0038256E" w:rsidRDefault="002B6DB3" w:rsidP="00A374B8">
            <w:pPr>
              <w:pStyle w:val="NoSpacing"/>
            </w:pPr>
            <w:r w:rsidRPr="002B6DB3">
              <w:t>http://www.qualitymeasures.ahrq.gov/content.aspx?id=47165</w:t>
            </w:r>
          </w:p>
        </w:tc>
      </w:tr>
      <w:tr w:rsidR="00AD706B" w:rsidRPr="0038256E" w14:paraId="544DB8BA" w14:textId="77777777" w:rsidTr="003002A4">
        <w:tc>
          <w:tcPr>
            <w:tcW w:w="2718" w:type="dxa"/>
          </w:tcPr>
          <w:p w14:paraId="544DB8B8" w14:textId="77777777" w:rsidR="00AD706B" w:rsidRPr="0038256E" w:rsidRDefault="00AD706B" w:rsidP="00A374B8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544DB8B9" w14:textId="682AFB22" w:rsidR="00AD706B" w:rsidRPr="0038256E" w:rsidRDefault="00AD706B" w:rsidP="00AD706B">
            <w:pPr>
              <w:pStyle w:val="NoSpacing"/>
            </w:pPr>
            <w:r w:rsidRPr="0038256E">
              <w:t>Stand-alone</w:t>
            </w:r>
            <w:r w:rsidR="00165D76" w:rsidRPr="0038256E">
              <w:t xml:space="preserve"> (SA)</w:t>
            </w:r>
          </w:p>
        </w:tc>
      </w:tr>
      <w:tr w:rsidR="002B6DB3" w:rsidRPr="0038256E" w14:paraId="544DB8BD" w14:textId="77777777" w:rsidTr="003002A4">
        <w:tc>
          <w:tcPr>
            <w:tcW w:w="2718" w:type="dxa"/>
          </w:tcPr>
          <w:p w14:paraId="544DB8BB" w14:textId="4ECB52F0" w:rsidR="002B6DB3" w:rsidRPr="0038256E" w:rsidRDefault="002B6DB3" w:rsidP="003002A4">
            <w:pPr>
              <w:pStyle w:val="NoSpacing"/>
              <w:tabs>
                <w:tab w:val="right" w:pos="2502"/>
              </w:tabs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774EA238" w14:textId="77777777" w:rsidR="002B6DB3" w:rsidRDefault="002B6DB3" w:rsidP="000C075E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2B6DB3" w14:paraId="37068FA8" w14:textId="77777777" w:rsidTr="000C075E">
              <w:tc>
                <w:tcPr>
                  <w:tcW w:w="1880" w:type="dxa"/>
                </w:tcPr>
                <w:p w14:paraId="1EB2334F" w14:textId="77777777" w:rsidR="002B6DB3" w:rsidRPr="00791AAE" w:rsidRDefault="002B6DB3" w:rsidP="000C075E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35672602" w14:textId="77777777" w:rsidR="002B6DB3" w:rsidRPr="00791AAE" w:rsidRDefault="002B6DB3" w:rsidP="000C075E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14:paraId="5129D911" w14:textId="77777777" w:rsidR="002B6DB3" w:rsidRPr="00791AAE" w:rsidRDefault="002B6DB3" w:rsidP="000C075E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4D793FCF" w14:textId="77777777" w:rsidR="002B6DB3" w:rsidRPr="00791AAE" w:rsidRDefault="002B6DB3" w:rsidP="000C075E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14:paraId="3F91D1D9" w14:textId="77777777" w:rsidR="002B6DB3" w:rsidRPr="00791AAE" w:rsidRDefault="002B6DB3" w:rsidP="000C075E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582C5004" w14:textId="77777777" w:rsidR="002B6DB3" w:rsidRPr="00791AAE" w:rsidRDefault="002B6DB3" w:rsidP="000C075E">
                  <w:pPr>
                    <w:pStyle w:val="NoSpacing"/>
                    <w:jc w:val="center"/>
                  </w:pPr>
                </w:p>
              </w:tc>
            </w:tr>
            <w:tr w:rsidR="002B6DB3" w14:paraId="2479A40F" w14:textId="77777777" w:rsidTr="000C075E">
              <w:tc>
                <w:tcPr>
                  <w:tcW w:w="1880" w:type="dxa"/>
                  <w:vMerge w:val="restart"/>
                </w:tcPr>
                <w:p w14:paraId="11C1F095" w14:textId="77777777" w:rsidR="002B6DB3" w:rsidRPr="00791AAE" w:rsidRDefault="002B6DB3" w:rsidP="000C075E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14:paraId="583741B8" w14:textId="77777777" w:rsidR="002B6DB3" w:rsidRPr="00791AAE" w:rsidRDefault="002B6DB3" w:rsidP="000C075E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5AE11585" w14:textId="77777777" w:rsidR="002B6DB3" w:rsidRDefault="002B6DB3" w:rsidP="000C075E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14:paraId="08037BD1" w14:textId="77777777" w:rsidR="002B6DB3" w:rsidRPr="00791AAE" w:rsidRDefault="002B6DB3" w:rsidP="000C075E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14:paraId="08B1B501" w14:textId="77777777" w:rsidR="002B6DB3" w:rsidRPr="00791AAE" w:rsidRDefault="002B6DB3" w:rsidP="000C075E">
                  <w:pPr>
                    <w:pStyle w:val="NoSpacing"/>
                    <w:jc w:val="center"/>
                  </w:pPr>
                  <w:r w:rsidRPr="00F2515D">
                    <w:t xml:space="preserve">MPL </w:t>
                  </w:r>
                  <w:r>
                    <w:t>+</w:t>
                  </w:r>
                  <w:r w:rsidRPr="00F2515D">
                    <w:t xml:space="preserve"> 10%* (HPL-MPL)</w:t>
                  </w:r>
                </w:p>
              </w:tc>
            </w:tr>
            <w:tr w:rsidR="002B6DB3" w14:paraId="0DED376A" w14:textId="77777777" w:rsidTr="000C075E">
              <w:tc>
                <w:tcPr>
                  <w:tcW w:w="1880" w:type="dxa"/>
                  <w:vMerge/>
                </w:tcPr>
                <w:p w14:paraId="69978BDE" w14:textId="77777777" w:rsidR="002B6DB3" w:rsidRPr="00791AAE" w:rsidRDefault="002B6DB3" w:rsidP="000C075E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75DDBB3B" w14:textId="77777777" w:rsidR="002B6DB3" w:rsidRDefault="002B6DB3" w:rsidP="000C075E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14:paraId="5664C2BD" w14:textId="77777777" w:rsidR="002B6DB3" w:rsidRPr="00791AAE" w:rsidRDefault="002B6DB3" w:rsidP="000C075E">
                  <w:pPr>
                    <w:pStyle w:val="NoSpacing"/>
                    <w:jc w:val="center"/>
                  </w:pPr>
                  <w:r>
                    <w:t>B</w:t>
                  </w:r>
                  <w:r w:rsidRPr="00BD6219">
                    <w:t xml:space="preserve">aseline </w:t>
                  </w:r>
                  <w:r>
                    <w:t>+</w:t>
                  </w:r>
                  <w:r w:rsidRPr="00BD6219">
                    <w:t xml:space="preserve"> 10%*(HPL - </w:t>
                  </w:r>
                  <w:r>
                    <w:t>B</w:t>
                  </w:r>
                  <w:r w:rsidRPr="00BD6219">
                    <w:t>aseline)</w:t>
                  </w:r>
                </w:p>
              </w:tc>
              <w:tc>
                <w:tcPr>
                  <w:tcW w:w="1846" w:type="dxa"/>
                </w:tcPr>
                <w:p w14:paraId="728FB3AF" w14:textId="77777777" w:rsidR="002B6DB3" w:rsidRPr="00791AAE" w:rsidRDefault="002B6DB3" w:rsidP="000C075E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</w:t>
                  </w:r>
                  <w:r>
                    <w:t>+</w:t>
                  </w:r>
                  <w:r w:rsidRPr="00155143">
                    <w:t xml:space="preserve">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544DB8BC" w14:textId="6939A750" w:rsidR="002B6DB3" w:rsidRPr="0038256E" w:rsidRDefault="002B6DB3" w:rsidP="00967948">
            <w:pPr>
              <w:pStyle w:val="NoSpacing"/>
            </w:pPr>
          </w:p>
        </w:tc>
      </w:tr>
      <w:tr w:rsidR="002B6DB3" w:rsidRPr="0038256E" w14:paraId="24BDA119" w14:textId="77777777" w:rsidTr="002B6DB3">
        <w:tc>
          <w:tcPr>
            <w:tcW w:w="2718" w:type="dxa"/>
          </w:tcPr>
          <w:p w14:paraId="37E065C5" w14:textId="60739421" w:rsidR="002B6DB3" w:rsidRPr="0038256E" w:rsidRDefault="002B6DB3" w:rsidP="002B6DB3">
            <w:pPr>
              <w:pStyle w:val="NoSpacing"/>
              <w:tabs>
                <w:tab w:val="right" w:pos="2502"/>
              </w:tabs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858" w:type="dxa"/>
          </w:tcPr>
          <w:tbl>
            <w:tblPr>
              <w:tblStyle w:val="TableGrid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2B6DB3" w14:paraId="122CCE25" w14:textId="77777777" w:rsidTr="000C075E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14:paraId="4D069FC9" w14:textId="658540EE" w:rsidR="002B6DB3" w:rsidRPr="00791AAE" w:rsidRDefault="002B6DB3" w:rsidP="001437E4">
                  <w:pPr>
                    <w:pStyle w:val="NoSpacing"/>
                    <w:jc w:val="center"/>
                  </w:pPr>
                  <w:r>
                    <w:t>NCQA Accreditation Benchmarks and Thresholds</w:t>
                  </w:r>
                </w:p>
              </w:tc>
            </w:tr>
            <w:tr w:rsidR="002B6DB3" w14:paraId="17BB34ED" w14:textId="77777777" w:rsidTr="000C075E">
              <w:tc>
                <w:tcPr>
                  <w:tcW w:w="3397" w:type="dxa"/>
                </w:tcPr>
                <w:p w14:paraId="5BED1909" w14:textId="77777777" w:rsidR="002B6DB3" w:rsidRPr="00791AAE" w:rsidRDefault="002B6DB3" w:rsidP="000C075E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14:paraId="513C7757" w14:textId="3CFF10E2" w:rsidR="002B6DB3" w:rsidRPr="00791AAE" w:rsidRDefault="002B6DB3" w:rsidP="000C075E">
                  <w:pPr>
                    <w:pStyle w:val="NoSpacing"/>
                    <w:jc w:val="center"/>
                  </w:pPr>
                  <w:r w:rsidRPr="002B6DB3">
                    <w:t>83.65%</w:t>
                  </w:r>
                </w:p>
              </w:tc>
            </w:tr>
            <w:tr w:rsidR="002B6DB3" w14:paraId="3B45447A" w14:textId="77777777" w:rsidTr="000C075E">
              <w:tc>
                <w:tcPr>
                  <w:tcW w:w="3397" w:type="dxa"/>
                </w:tcPr>
                <w:p w14:paraId="03EA264B" w14:textId="77777777" w:rsidR="002B6DB3" w:rsidRPr="00791AAE" w:rsidRDefault="002B6DB3" w:rsidP="000C075E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283705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14:paraId="45146A78" w14:textId="01C33DE4" w:rsidR="002B6DB3" w:rsidRPr="00791AAE" w:rsidRDefault="002B6DB3" w:rsidP="002B6DB3">
                  <w:pPr>
                    <w:pStyle w:val="NoSpacing"/>
                    <w:jc w:val="center"/>
                  </w:pPr>
                  <w:r w:rsidRPr="002B6DB3">
                    <w:t>58.5</w:t>
                  </w:r>
                  <w:r>
                    <w:t>0</w:t>
                  </w:r>
                  <w:r w:rsidRPr="002B6DB3">
                    <w:t>%</w:t>
                  </w:r>
                </w:p>
              </w:tc>
            </w:tr>
          </w:tbl>
          <w:p w14:paraId="36ACF848" w14:textId="1E4E6E6B" w:rsidR="002B6DB3" w:rsidRPr="0038256E" w:rsidRDefault="002B6DB3" w:rsidP="00967948">
            <w:pPr>
              <w:pStyle w:val="NoSpacing"/>
            </w:pPr>
          </w:p>
        </w:tc>
      </w:tr>
      <w:tr w:rsidR="00AD706B" w:rsidRPr="0038256E" w14:paraId="544DB8C6" w14:textId="77777777" w:rsidTr="003002A4">
        <w:tc>
          <w:tcPr>
            <w:tcW w:w="2718" w:type="dxa"/>
          </w:tcPr>
          <w:p w14:paraId="544DB8BE" w14:textId="77777777" w:rsidR="00AD706B" w:rsidRPr="0038256E" w:rsidRDefault="00AD706B" w:rsidP="00A374B8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35485CB2" w14:textId="734A9629" w:rsidR="00993474" w:rsidRDefault="00993474" w:rsidP="0088231E">
            <w:pPr>
              <w:pStyle w:val="NoSpacing"/>
            </w:pPr>
            <w:r>
              <w:t>The Measure Steward’s specification has been modified as follows:</w:t>
            </w:r>
          </w:p>
          <w:p w14:paraId="72B71384" w14:textId="77777777" w:rsidR="00993474" w:rsidRDefault="00844E07" w:rsidP="00993474">
            <w:pPr>
              <w:pStyle w:val="NoSpacing"/>
              <w:numPr>
                <w:ilvl w:val="0"/>
                <w:numId w:val="13"/>
              </w:numPr>
            </w:pPr>
            <w:r w:rsidRPr="00844E07">
              <w:t>Replaced term "member" with "patient"</w:t>
            </w:r>
          </w:p>
          <w:p w14:paraId="087C98BF" w14:textId="77777777" w:rsidR="009F78A7" w:rsidRDefault="00993474" w:rsidP="00993474">
            <w:pPr>
              <w:pStyle w:val="NoSpacing"/>
              <w:numPr>
                <w:ilvl w:val="0"/>
                <w:numId w:val="13"/>
              </w:numPr>
            </w:pPr>
            <w:r>
              <w:t>Removed references to tables that are not included in the document</w:t>
            </w:r>
          </w:p>
          <w:p w14:paraId="544DB8C5" w14:textId="0C0AD012" w:rsidR="00954E23" w:rsidRPr="0038256E" w:rsidRDefault="00954E23" w:rsidP="00993474">
            <w:pPr>
              <w:pStyle w:val="NoSpacing"/>
              <w:numPr>
                <w:ilvl w:val="0"/>
                <w:numId w:val="13"/>
              </w:numPr>
            </w:pPr>
            <w:r>
              <w:t>Removed references to rounded rate in performance level values</w:t>
            </w:r>
          </w:p>
        </w:tc>
      </w:tr>
      <w:tr w:rsidR="00AD706B" w:rsidRPr="0038256E" w14:paraId="544DB8C9" w14:textId="77777777" w:rsidTr="003002A4">
        <w:tc>
          <w:tcPr>
            <w:tcW w:w="2718" w:type="dxa"/>
          </w:tcPr>
          <w:p w14:paraId="544DB8C7" w14:textId="77777777" w:rsidR="00AD706B" w:rsidRPr="0038256E" w:rsidRDefault="00AD706B" w:rsidP="001D6BEA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Denominator</w:t>
            </w:r>
            <w:r w:rsidR="00C01E6F" w:rsidRPr="0038256E">
              <w:rPr>
                <w:b/>
              </w:rPr>
              <w:t xml:space="preserve"> </w:t>
            </w:r>
            <w:r w:rsidR="00B05CBF" w:rsidRPr="0038256E">
              <w:rPr>
                <w:b/>
              </w:rPr>
              <w:t>Description</w:t>
            </w:r>
            <w:r w:rsidR="00C01E6F" w:rsidRPr="0038256E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544DB8C8" w14:textId="04BA8531" w:rsidR="00AD706B" w:rsidRPr="0038256E" w:rsidRDefault="002C656C" w:rsidP="007A3D69">
            <w:pPr>
              <w:pStyle w:val="NoSpacing"/>
            </w:pPr>
            <w:bookmarkStart w:id="0" w:name="_GoBack"/>
            <w:r w:rsidRPr="0038256E">
              <w:t xml:space="preserve">Children 2 years of age as of July 1 of the year prior to the measurement year to 18 years of age as of June 30 of the measurement year, with a Negative Medication History, who had an outpatient or emergency department (ED) visit with only a diagnosis of pharyngitis and a dispensed antibiotic for that episode of care during the Intake Period </w:t>
            </w:r>
            <w:bookmarkEnd w:id="0"/>
          </w:p>
        </w:tc>
      </w:tr>
      <w:tr w:rsidR="00787D45" w:rsidRPr="0038256E" w14:paraId="544DB8CC" w14:textId="77777777" w:rsidTr="003002A4">
        <w:trPr>
          <w:trHeight w:val="728"/>
        </w:trPr>
        <w:tc>
          <w:tcPr>
            <w:tcW w:w="2718" w:type="dxa"/>
          </w:tcPr>
          <w:p w14:paraId="544DB8CA" w14:textId="77777777" w:rsidR="00787D45" w:rsidRPr="0038256E" w:rsidRDefault="00787D45" w:rsidP="00C01E6F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2A42BB20" w14:textId="77777777" w:rsidR="009C7FDD" w:rsidRPr="0038256E" w:rsidRDefault="009C7FDD" w:rsidP="009C7FDD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38256E">
              <w:rPr>
                <w:rFonts w:eastAsia="Times New Roman" w:cs="Times New Roman"/>
                <w:b/>
                <w:bCs/>
              </w:rPr>
              <w:t>Note</w:t>
            </w:r>
            <w:r w:rsidRPr="0038256E">
              <w:rPr>
                <w:rFonts w:eastAsia="Times New Roman" w:cs="Times New Roman"/>
              </w:rPr>
              <w:t>:</w:t>
            </w:r>
          </w:p>
          <w:p w14:paraId="353BE0D7" w14:textId="13BC6D4A" w:rsidR="009C7FDD" w:rsidRPr="0038256E" w:rsidRDefault="009C7FDD" w:rsidP="009C7FDD">
            <w:pPr>
              <w:numPr>
                <w:ilvl w:val="0"/>
                <w:numId w:val="10"/>
              </w:numPr>
              <w:tabs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b/>
              </w:rPr>
            </w:pPr>
            <w:r w:rsidRPr="0038256E">
              <w:rPr>
                <w:rFonts w:eastAsia="Times New Roman" w:cs="Times New Roman"/>
              </w:rPr>
              <w:t xml:space="preserve">A prescription is considered </w:t>
            </w:r>
            <w:r w:rsidRPr="0038256E">
              <w:rPr>
                <w:rFonts w:eastAsia="Times New Roman" w:cs="Times New Roman"/>
                <w:b/>
                <w:bCs/>
              </w:rPr>
              <w:t>active</w:t>
            </w:r>
            <w:r w:rsidRPr="0038256E">
              <w:rPr>
                <w:rFonts w:eastAsia="Times New Roman" w:cs="Times New Roman"/>
              </w:rPr>
              <w:t xml:space="preserve"> if the "</w:t>
            </w:r>
            <w:proofErr w:type="spellStart"/>
            <w:r w:rsidRPr="0038256E">
              <w:rPr>
                <w:rFonts w:eastAsia="Times New Roman" w:cs="Times New Roman"/>
              </w:rPr>
              <w:t>days</w:t>
            </w:r>
            <w:proofErr w:type="spellEnd"/>
            <w:r w:rsidRPr="0038256E">
              <w:rPr>
                <w:rFonts w:eastAsia="Times New Roman" w:cs="Times New Roman"/>
              </w:rPr>
              <w:t xml:space="preserve"> supply" indicated on the date the </w:t>
            </w:r>
            <w:r w:rsidR="00993474">
              <w:rPr>
                <w:rFonts w:eastAsia="Times New Roman" w:cs="Times New Roman"/>
              </w:rPr>
              <w:t>patient</w:t>
            </w:r>
            <w:r w:rsidR="0038256E" w:rsidRPr="0038256E">
              <w:rPr>
                <w:rFonts w:eastAsia="Times New Roman" w:cs="Times New Roman"/>
              </w:rPr>
              <w:t xml:space="preserve"> </w:t>
            </w:r>
            <w:r w:rsidRPr="0038256E">
              <w:rPr>
                <w:rFonts w:eastAsia="Times New Roman" w:cs="Times New Roman"/>
              </w:rPr>
              <w:t xml:space="preserve">filled the prescription is the number of days or more between that date and the relevant service date. The 30-day look back period for pharmacy data includes the 30 days prior to the Intake Period. </w:t>
            </w:r>
          </w:p>
          <w:p w14:paraId="544DB8CB" w14:textId="30A422C2" w:rsidR="00787D45" w:rsidRPr="0038256E" w:rsidRDefault="00787D45" w:rsidP="009C7FDD">
            <w:pPr>
              <w:numPr>
                <w:ilvl w:val="0"/>
                <w:numId w:val="10"/>
              </w:numPr>
              <w:tabs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b/>
              </w:rPr>
            </w:pPr>
          </w:p>
        </w:tc>
      </w:tr>
      <w:tr w:rsidR="00787D45" w:rsidRPr="0038256E" w14:paraId="544DB8CF" w14:textId="77777777" w:rsidTr="003002A4">
        <w:trPr>
          <w:trHeight w:val="710"/>
        </w:trPr>
        <w:tc>
          <w:tcPr>
            <w:tcW w:w="2718" w:type="dxa"/>
          </w:tcPr>
          <w:p w14:paraId="544DB8CD" w14:textId="77777777" w:rsidR="00787D45" w:rsidRPr="0038256E" w:rsidRDefault="00787D45" w:rsidP="00C01E6F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44F318BF" w14:textId="77777777" w:rsidR="009C7FDD" w:rsidRPr="0038256E" w:rsidRDefault="009C7FDD" w:rsidP="009C7FDD">
            <w:pPr>
              <w:numPr>
                <w:ilvl w:val="0"/>
                <w:numId w:val="11"/>
              </w:numPr>
              <w:tabs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</w:rPr>
            </w:pPr>
            <w:r w:rsidRPr="0038256E">
              <w:rPr>
                <w:rFonts w:eastAsia="Times New Roman" w:cs="Times New Roman"/>
              </w:rPr>
              <w:t xml:space="preserve">Exclude claims/encounters with more than one diagnosis. </w:t>
            </w:r>
          </w:p>
          <w:p w14:paraId="3D092C95" w14:textId="77777777" w:rsidR="009C7FDD" w:rsidRPr="0038256E" w:rsidRDefault="009C7FDD" w:rsidP="009C7FDD">
            <w:pPr>
              <w:numPr>
                <w:ilvl w:val="0"/>
                <w:numId w:val="11"/>
              </w:numPr>
              <w:tabs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</w:rPr>
            </w:pPr>
            <w:r w:rsidRPr="0038256E">
              <w:rPr>
                <w:rFonts w:eastAsia="Times New Roman" w:cs="Times New Roman"/>
              </w:rPr>
              <w:t xml:space="preserve">Do not include ED visits that result in an inpatient admission. </w:t>
            </w:r>
          </w:p>
          <w:p w14:paraId="240017C3" w14:textId="681A3E1E" w:rsidR="009C7FDD" w:rsidRPr="0038256E" w:rsidRDefault="009C7FDD" w:rsidP="009C7FDD">
            <w:pPr>
              <w:numPr>
                <w:ilvl w:val="0"/>
                <w:numId w:val="11"/>
              </w:numPr>
              <w:tabs>
                <w:tab w:val="num" w:pos="432"/>
              </w:tabs>
              <w:spacing w:before="100" w:beforeAutospacing="1" w:after="100" w:afterAutospacing="1" w:line="240" w:lineRule="auto"/>
              <w:ind w:left="432"/>
              <w:rPr>
                <w:rFonts w:eastAsia="Times New Roman" w:cs="Times New Roman"/>
              </w:rPr>
            </w:pPr>
            <w:r w:rsidRPr="0038256E">
              <w:rPr>
                <w:rFonts w:eastAsia="Times New Roman" w:cs="Times New Roman"/>
              </w:rPr>
              <w:t xml:space="preserve">Exclude Episode Dates if the </w:t>
            </w:r>
            <w:r w:rsidR="00993474">
              <w:rPr>
                <w:rFonts w:eastAsia="Times New Roman" w:cs="Times New Roman"/>
              </w:rPr>
              <w:t>patient</w:t>
            </w:r>
            <w:r w:rsidR="0038256E" w:rsidRPr="0038256E">
              <w:rPr>
                <w:rFonts w:eastAsia="Times New Roman" w:cs="Times New Roman"/>
              </w:rPr>
              <w:t xml:space="preserve"> </w:t>
            </w:r>
            <w:r w:rsidRPr="0038256E">
              <w:rPr>
                <w:rFonts w:eastAsia="Times New Roman" w:cs="Times New Roman"/>
              </w:rPr>
              <w:t xml:space="preserve">did not receive antibiotics on or </w:t>
            </w:r>
            <w:r w:rsidRPr="0038256E">
              <w:rPr>
                <w:rFonts w:eastAsia="Times New Roman" w:cs="Times New Roman"/>
              </w:rPr>
              <w:lastRenderedPageBreak/>
              <w:t xml:space="preserve">three days after the Episode Date. </w:t>
            </w:r>
          </w:p>
          <w:p w14:paraId="544DB8CE" w14:textId="6E8540E6" w:rsidR="00787D45" w:rsidRPr="0038256E" w:rsidRDefault="009C7FDD" w:rsidP="003002A4">
            <w:pPr>
              <w:numPr>
                <w:ilvl w:val="0"/>
                <w:numId w:val="11"/>
              </w:numPr>
              <w:tabs>
                <w:tab w:val="num" w:pos="432"/>
              </w:tabs>
              <w:spacing w:before="100" w:beforeAutospacing="1" w:after="100" w:afterAutospacing="1" w:line="240" w:lineRule="auto"/>
              <w:ind w:left="432"/>
            </w:pPr>
            <w:r w:rsidRPr="0038256E">
              <w:rPr>
                <w:rFonts w:eastAsia="Times New Roman" w:cs="Times New Roman"/>
                <w:i/>
                <w:iCs/>
              </w:rPr>
              <w:t>Test for Negative Medication History</w:t>
            </w:r>
            <w:r w:rsidRPr="0038256E">
              <w:rPr>
                <w:rFonts w:eastAsia="Times New Roman" w:cs="Times New Roman"/>
              </w:rPr>
              <w:t>. Exclude Episode Dates where a new or refill prescription for an antibiotic medication was filled 30 days prior to the Episode Date or where a prescription filled more than 30 days prior to the Episode Date was active on the Episode Date.</w:t>
            </w:r>
          </w:p>
        </w:tc>
      </w:tr>
      <w:tr w:rsidR="00D63CD3" w:rsidRPr="0038256E" w14:paraId="544DB8D5" w14:textId="77777777" w:rsidTr="003002A4">
        <w:tc>
          <w:tcPr>
            <w:tcW w:w="2718" w:type="dxa"/>
          </w:tcPr>
          <w:p w14:paraId="544DB8D0" w14:textId="77777777" w:rsidR="00D63CD3" w:rsidRPr="0038256E" w:rsidRDefault="00D63CD3" w:rsidP="00AF103E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lastRenderedPageBreak/>
              <w:t>Denominator Size</w:t>
            </w:r>
          </w:p>
        </w:tc>
        <w:tc>
          <w:tcPr>
            <w:tcW w:w="6858" w:type="dxa"/>
          </w:tcPr>
          <w:p w14:paraId="544DB8D1" w14:textId="77777777" w:rsidR="00D63CD3" w:rsidRPr="0038256E" w:rsidRDefault="00D63CD3" w:rsidP="00D63CD3">
            <w:pPr>
              <w:pStyle w:val="NoSpacing"/>
            </w:pPr>
            <w:r w:rsidRPr="0038256E">
              <w:t xml:space="preserve">Providers must report a </w:t>
            </w:r>
            <w:r w:rsidR="0011709A" w:rsidRPr="0038256E">
              <w:t>minimum of 3</w:t>
            </w:r>
            <w:r w:rsidR="0032246B" w:rsidRPr="0038256E">
              <w:t xml:space="preserve">0 cases per measure during a </w:t>
            </w:r>
            <w:r w:rsidR="0011709A" w:rsidRPr="0038256E">
              <w:t>12-month measurement period (15 cases for a 6-month measurement period)</w:t>
            </w:r>
          </w:p>
          <w:p w14:paraId="544DB8D2" w14:textId="77777777" w:rsidR="0032246B" w:rsidRPr="0038256E" w:rsidRDefault="0032246B" w:rsidP="0032246B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 w:rsidRPr="0038256E">
              <w:t xml:space="preserve">For a measurement period </w:t>
            </w:r>
            <w:r w:rsidR="003A409E" w:rsidRPr="0038256E">
              <w:t xml:space="preserve">(either 6 or 12 </w:t>
            </w:r>
            <w:r w:rsidR="0011709A" w:rsidRPr="0038256E">
              <w:t xml:space="preserve">months) where the </w:t>
            </w:r>
            <w:r w:rsidRPr="0038256E">
              <w:t>denominator size is less than or equal to 75, providers must report on all cases. No sampling is allowed.</w:t>
            </w:r>
          </w:p>
          <w:p w14:paraId="544DB8D3" w14:textId="77777777" w:rsidR="0032246B" w:rsidRPr="0038256E" w:rsidRDefault="0032246B" w:rsidP="0032246B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 w:rsidRPr="0038256E">
              <w:t xml:space="preserve">For a measurement period </w:t>
            </w:r>
            <w:r w:rsidR="003A409E" w:rsidRPr="0038256E">
              <w:t xml:space="preserve">(either 6 or 12 </w:t>
            </w:r>
            <w:r w:rsidR="0011709A" w:rsidRPr="0038256E">
              <w:t xml:space="preserve">months) where the </w:t>
            </w:r>
            <w:r w:rsidRPr="0038256E">
              <w:t xml:space="preserve">denominator size is less than or equal to 380 but greater than 75, providers must report on </w:t>
            </w:r>
            <w:r w:rsidR="003A409E" w:rsidRPr="0038256E">
              <w:t xml:space="preserve">all cases (preferred, particularly for providers using an electronic health record) or </w:t>
            </w:r>
            <w:r w:rsidRPr="0038256E">
              <w:t>a random sample of not less than 76 cases.</w:t>
            </w:r>
          </w:p>
          <w:p w14:paraId="544DB8D4" w14:textId="51CE0447" w:rsidR="0032246B" w:rsidRPr="0038256E" w:rsidRDefault="0032246B" w:rsidP="00073FBB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 w:rsidRPr="0038256E">
              <w:t xml:space="preserve">For a measurement period </w:t>
            </w:r>
            <w:r w:rsidR="0011709A" w:rsidRPr="0038256E">
              <w:t>(either 6 or 12-months) where the denominator size</w:t>
            </w:r>
            <w:r w:rsidRPr="0038256E">
              <w:t xml:space="preserve"> is greater than </w:t>
            </w:r>
            <w:r w:rsidR="00073FBB">
              <w:t>380</w:t>
            </w:r>
            <w:r w:rsidRPr="0038256E">
              <w:t xml:space="preserve">, providers must report on </w:t>
            </w:r>
            <w:r w:rsidR="003A409E" w:rsidRPr="0038256E">
              <w:t xml:space="preserve">all cases (preferred, particularly for providers using an electronic health record) or </w:t>
            </w:r>
            <w:r w:rsidRPr="0038256E">
              <w:t xml:space="preserve">a random sample of cases that is not less than 20% of all cases; however, providers may cap the </w:t>
            </w:r>
            <w:r w:rsidR="0011709A" w:rsidRPr="0038256E">
              <w:t xml:space="preserve">total </w:t>
            </w:r>
            <w:r w:rsidRPr="0038256E">
              <w:t xml:space="preserve">sample size at 300 cases. </w:t>
            </w:r>
          </w:p>
        </w:tc>
      </w:tr>
      <w:tr w:rsidR="00AC3A97" w:rsidRPr="0038256E" w14:paraId="544DB8D8" w14:textId="77777777" w:rsidTr="003002A4">
        <w:tc>
          <w:tcPr>
            <w:tcW w:w="2718" w:type="dxa"/>
          </w:tcPr>
          <w:p w14:paraId="544DB8D6" w14:textId="77777777" w:rsidR="00AC3A97" w:rsidRPr="0038256E" w:rsidRDefault="00AC3A97" w:rsidP="00AF103E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544DB8D7" w14:textId="2C34DD55" w:rsidR="00AC3A97" w:rsidRPr="0038256E" w:rsidRDefault="002C656C" w:rsidP="007A3D69">
            <w:pPr>
              <w:pStyle w:val="NoSpacing"/>
            </w:pPr>
            <w:r w:rsidRPr="0038256E">
              <w:t xml:space="preserve">Children from the denominator with a group A streptococcus (strep) test  in the seven-day period from three days prior to the Index Episode Start Date (IESD) through three days after the IESD </w:t>
            </w:r>
          </w:p>
        </w:tc>
      </w:tr>
      <w:tr w:rsidR="00787D45" w:rsidRPr="0038256E" w14:paraId="544DB8DB" w14:textId="77777777" w:rsidTr="003002A4">
        <w:tc>
          <w:tcPr>
            <w:tcW w:w="2718" w:type="dxa"/>
          </w:tcPr>
          <w:p w14:paraId="544DB8D9" w14:textId="77777777" w:rsidR="00787D45" w:rsidRPr="0038256E" w:rsidRDefault="00787D45" w:rsidP="00AF103E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3C9C7AEF" w14:textId="77777777" w:rsidR="009C7FDD" w:rsidRPr="003038A0" w:rsidRDefault="009C7FDD" w:rsidP="009C7FDD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3038A0">
              <w:rPr>
                <w:rFonts w:eastAsia="Times New Roman" w:cs="Times New Roman"/>
              </w:rPr>
              <w:t>*</w:t>
            </w:r>
            <w:r w:rsidRPr="003038A0">
              <w:rPr>
                <w:rFonts w:eastAsia="Times New Roman" w:cs="Times New Roman"/>
                <w:i/>
                <w:iCs/>
              </w:rPr>
              <w:t>IESD</w:t>
            </w:r>
            <w:r w:rsidRPr="003038A0">
              <w:rPr>
                <w:rFonts w:eastAsia="Times New Roman" w:cs="Times New Roman"/>
              </w:rPr>
              <w:t>: The earliest Episode Date during the Intake Period that meets all of the following criteria:</w:t>
            </w:r>
          </w:p>
          <w:p w14:paraId="5A24F937" w14:textId="77777777" w:rsidR="009C7FDD" w:rsidRPr="003038A0" w:rsidRDefault="009C7FDD" w:rsidP="009C7F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3038A0">
              <w:rPr>
                <w:rFonts w:eastAsia="Times New Roman" w:cs="Times New Roman"/>
              </w:rPr>
              <w:t xml:space="preserve">Linked to a dispensed antibiotic prescription on or during the three days after the Episode Date </w:t>
            </w:r>
          </w:p>
          <w:p w14:paraId="57799D61" w14:textId="77777777" w:rsidR="009C7FDD" w:rsidRPr="003038A0" w:rsidRDefault="009C7FDD" w:rsidP="009C7F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3038A0">
              <w:rPr>
                <w:rFonts w:eastAsia="Times New Roman" w:cs="Times New Roman"/>
              </w:rPr>
              <w:t xml:space="preserve">A 30-day Negative Medication History prior to the Episode Date </w:t>
            </w:r>
          </w:p>
          <w:p w14:paraId="544DB8DA" w14:textId="5A1CE61A" w:rsidR="00787D45" w:rsidRPr="003038A0" w:rsidRDefault="009C7FDD" w:rsidP="0099347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3038A0">
              <w:rPr>
                <w:rFonts w:eastAsia="Times New Roman" w:cs="Times New Roman"/>
              </w:rPr>
              <w:t xml:space="preserve">The </w:t>
            </w:r>
            <w:r w:rsidR="00993474">
              <w:rPr>
                <w:rFonts w:eastAsia="Times New Roman" w:cs="Times New Roman"/>
              </w:rPr>
              <w:t>patient</w:t>
            </w:r>
            <w:r w:rsidR="0038256E" w:rsidRPr="003038A0">
              <w:rPr>
                <w:rFonts w:eastAsia="Times New Roman" w:cs="Times New Roman"/>
              </w:rPr>
              <w:t xml:space="preserve"> </w:t>
            </w:r>
            <w:r w:rsidRPr="003038A0">
              <w:rPr>
                <w:rFonts w:eastAsia="Times New Roman" w:cs="Times New Roman"/>
              </w:rPr>
              <w:t xml:space="preserve">was continuously enrolled during the 30 days prior to the Episode Date through 3 days after the Episode Date. </w:t>
            </w:r>
          </w:p>
        </w:tc>
      </w:tr>
      <w:tr w:rsidR="00787D45" w:rsidRPr="0038256E" w14:paraId="544DB8DE" w14:textId="77777777" w:rsidTr="003002A4">
        <w:tc>
          <w:tcPr>
            <w:tcW w:w="2718" w:type="dxa"/>
          </w:tcPr>
          <w:p w14:paraId="544DB8DC" w14:textId="77777777" w:rsidR="00787D45" w:rsidRPr="0038256E" w:rsidRDefault="00787D45" w:rsidP="00AF103E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544DB8DD" w14:textId="17DB5436" w:rsidR="00787D45" w:rsidRPr="0038256E" w:rsidRDefault="00FF63A9" w:rsidP="00FF63A9">
            <w:pPr>
              <w:spacing w:before="100" w:beforeAutospacing="1" w:after="100" w:afterAutospacing="1" w:line="240" w:lineRule="auto"/>
            </w:pPr>
            <w:r w:rsidRPr="0038256E">
              <w:t>The Measure Steward does not identify specific numerator exclusions beyond what is described in the numerator description.</w:t>
            </w:r>
          </w:p>
        </w:tc>
      </w:tr>
      <w:tr w:rsidR="00AD706B" w:rsidRPr="0038256E" w14:paraId="544DB8E1" w14:textId="77777777" w:rsidTr="003002A4">
        <w:tc>
          <w:tcPr>
            <w:tcW w:w="2718" w:type="dxa"/>
          </w:tcPr>
          <w:p w14:paraId="544DB8DF" w14:textId="77777777" w:rsidR="00AD706B" w:rsidRPr="0038256E" w:rsidRDefault="00AD706B" w:rsidP="00A374B8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544DB8E0" w14:textId="61B92A98" w:rsidR="00AD706B" w:rsidRPr="0038256E" w:rsidRDefault="00AD706B" w:rsidP="00CD7069">
            <w:pPr>
              <w:pStyle w:val="NoSpacing"/>
            </w:pPr>
            <w:r w:rsidRPr="0038256E">
              <w:t>Ambulatory</w:t>
            </w:r>
          </w:p>
        </w:tc>
      </w:tr>
      <w:tr w:rsidR="00AD706B" w:rsidRPr="0038256E" w14:paraId="544DB8E4" w14:textId="77777777" w:rsidTr="003002A4">
        <w:tc>
          <w:tcPr>
            <w:tcW w:w="2718" w:type="dxa"/>
          </w:tcPr>
          <w:p w14:paraId="544DB8E2" w14:textId="77777777" w:rsidR="00AD706B" w:rsidRPr="0038256E" w:rsidRDefault="00AD706B" w:rsidP="00A374B8">
            <w:pPr>
              <w:pStyle w:val="NoSpacing"/>
              <w:rPr>
                <w:b/>
              </w:rPr>
            </w:pPr>
            <w:r w:rsidRPr="0038256E"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15959AF0" w14:textId="77777777" w:rsidR="00FF63A9" w:rsidRPr="0038256E" w:rsidRDefault="00FF63A9" w:rsidP="00FF63A9">
            <w:pPr>
              <w:pStyle w:val="NoSpacing"/>
            </w:pPr>
            <w:r w:rsidRPr="0038256E">
              <w:t>Administrative clinical data</w:t>
            </w:r>
          </w:p>
          <w:p w14:paraId="544DB8E3" w14:textId="2765947F" w:rsidR="00AD706B" w:rsidRPr="0038256E" w:rsidRDefault="00FF63A9" w:rsidP="00FF63A9">
            <w:pPr>
              <w:pStyle w:val="NoSpacing"/>
              <w:spacing w:line="276" w:lineRule="auto"/>
            </w:pPr>
            <w:r w:rsidRPr="0038256E">
              <w:t>Pharmacy data</w:t>
            </w:r>
          </w:p>
        </w:tc>
      </w:tr>
      <w:tr w:rsidR="002B6DB3" w:rsidRPr="0038256E" w14:paraId="544DB903" w14:textId="77777777" w:rsidTr="003002A4">
        <w:tc>
          <w:tcPr>
            <w:tcW w:w="2718" w:type="dxa"/>
          </w:tcPr>
          <w:p w14:paraId="544DB8E5" w14:textId="13DC9B1A" w:rsidR="002B6DB3" w:rsidRPr="0038256E" w:rsidRDefault="002B6DB3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7597A517" w14:textId="77777777" w:rsidR="002B6DB3" w:rsidRDefault="002B6DB3" w:rsidP="000C075E">
            <w:pPr>
              <w:pStyle w:val="NoSpacing"/>
            </w:pPr>
            <w:r>
              <w:t>All denominator subsets are permissible for this outcome</w:t>
            </w:r>
          </w:p>
          <w:p w14:paraId="544DB902" w14:textId="651894B7" w:rsidR="002B6DB3" w:rsidRPr="0038256E" w:rsidRDefault="002B6DB3" w:rsidP="007F7C07">
            <w:pPr>
              <w:pStyle w:val="NoSpacing"/>
              <w:spacing w:line="276" w:lineRule="auto"/>
            </w:pPr>
            <w:r>
              <w:t> </w:t>
            </w:r>
          </w:p>
        </w:tc>
      </w:tr>
    </w:tbl>
    <w:p w14:paraId="544DB94D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DB950" w14:textId="77777777" w:rsidR="00B7257A" w:rsidRDefault="00B7257A" w:rsidP="00F63191">
      <w:pPr>
        <w:spacing w:after="0" w:line="240" w:lineRule="auto"/>
      </w:pPr>
      <w:r>
        <w:separator/>
      </w:r>
    </w:p>
  </w:endnote>
  <w:endnote w:type="continuationSeparator" w:id="0">
    <w:p w14:paraId="544DB951" w14:textId="77777777" w:rsidR="00B7257A" w:rsidRDefault="00B7257A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16BFD" w14:textId="44085442" w:rsidR="001437E4" w:rsidRDefault="001437E4">
    <w:pPr>
      <w:pStyle w:val="Footer"/>
    </w:pPr>
    <w:r>
      <w:t>09/24/14</w:t>
    </w:r>
  </w:p>
  <w:p w14:paraId="544DB954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DB94E" w14:textId="77777777" w:rsidR="00B7257A" w:rsidRDefault="00B7257A" w:rsidP="00F63191">
      <w:pPr>
        <w:spacing w:after="0" w:line="240" w:lineRule="auto"/>
      </w:pPr>
      <w:r>
        <w:separator/>
      </w:r>
    </w:p>
  </w:footnote>
  <w:footnote w:type="continuationSeparator" w:id="0">
    <w:p w14:paraId="544DB94F" w14:textId="77777777" w:rsidR="00B7257A" w:rsidRDefault="00B7257A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DB952" w14:textId="2C8AE549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71E"/>
    <w:multiLevelType w:val="hybridMultilevel"/>
    <w:tmpl w:val="0206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019D"/>
    <w:multiLevelType w:val="multilevel"/>
    <w:tmpl w:val="0DC6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E57C3"/>
    <w:multiLevelType w:val="multilevel"/>
    <w:tmpl w:val="1A4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04892"/>
    <w:multiLevelType w:val="multilevel"/>
    <w:tmpl w:val="9AC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14"/>
  </w:num>
  <w:num w:numId="12">
    <w:abstractNumId w:val="3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73FBB"/>
    <w:rsid w:val="000C575F"/>
    <w:rsid w:val="000D1199"/>
    <w:rsid w:val="000D5A2D"/>
    <w:rsid w:val="000E7EED"/>
    <w:rsid w:val="00100A2F"/>
    <w:rsid w:val="00107C1A"/>
    <w:rsid w:val="0011709A"/>
    <w:rsid w:val="00123230"/>
    <w:rsid w:val="001437E4"/>
    <w:rsid w:val="00165D76"/>
    <w:rsid w:val="001D6BEA"/>
    <w:rsid w:val="001E4AE0"/>
    <w:rsid w:val="002224F0"/>
    <w:rsid w:val="00245754"/>
    <w:rsid w:val="00271E53"/>
    <w:rsid w:val="002845C2"/>
    <w:rsid w:val="00296283"/>
    <w:rsid w:val="002B6DB3"/>
    <w:rsid w:val="002C656C"/>
    <w:rsid w:val="002E14AF"/>
    <w:rsid w:val="003002A4"/>
    <w:rsid w:val="003038A0"/>
    <w:rsid w:val="0032246B"/>
    <w:rsid w:val="00346B8D"/>
    <w:rsid w:val="00356CF4"/>
    <w:rsid w:val="00366D0B"/>
    <w:rsid w:val="00375652"/>
    <w:rsid w:val="0038256E"/>
    <w:rsid w:val="00383516"/>
    <w:rsid w:val="003844DB"/>
    <w:rsid w:val="003A409E"/>
    <w:rsid w:val="003E4B1E"/>
    <w:rsid w:val="003F4E8D"/>
    <w:rsid w:val="00416E44"/>
    <w:rsid w:val="00502BE4"/>
    <w:rsid w:val="00506BC5"/>
    <w:rsid w:val="00536799"/>
    <w:rsid w:val="00572310"/>
    <w:rsid w:val="005802A0"/>
    <w:rsid w:val="005857E6"/>
    <w:rsid w:val="005B79DD"/>
    <w:rsid w:val="005C70A1"/>
    <w:rsid w:val="005F4D43"/>
    <w:rsid w:val="007164C7"/>
    <w:rsid w:val="00743628"/>
    <w:rsid w:val="00760D27"/>
    <w:rsid w:val="00787D45"/>
    <w:rsid w:val="007A3D69"/>
    <w:rsid w:val="007C728B"/>
    <w:rsid w:val="007C7C85"/>
    <w:rsid w:val="007E0395"/>
    <w:rsid w:val="007F675B"/>
    <w:rsid w:val="007F7C07"/>
    <w:rsid w:val="00823868"/>
    <w:rsid w:val="00827557"/>
    <w:rsid w:val="00844E07"/>
    <w:rsid w:val="008722BB"/>
    <w:rsid w:val="008779F5"/>
    <w:rsid w:val="0088231E"/>
    <w:rsid w:val="0088642E"/>
    <w:rsid w:val="00886E0E"/>
    <w:rsid w:val="008A5405"/>
    <w:rsid w:val="008A61FB"/>
    <w:rsid w:val="008D1A8E"/>
    <w:rsid w:val="008F0411"/>
    <w:rsid w:val="008F249E"/>
    <w:rsid w:val="00954E23"/>
    <w:rsid w:val="009575A1"/>
    <w:rsid w:val="00965A2A"/>
    <w:rsid w:val="00967948"/>
    <w:rsid w:val="00993474"/>
    <w:rsid w:val="00994A41"/>
    <w:rsid w:val="00996DD5"/>
    <w:rsid w:val="009C6EA3"/>
    <w:rsid w:val="009C7FDD"/>
    <w:rsid w:val="009F04D0"/>
    <w:rsid w:val="009F78A7"/>
    <w:rsid w:val="009F7E66"/>
    <w:rsid w:val="00A11BD9"/>
    <w:rsid w:val="00A82574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C4643"/>
    <w:rsid w:val="00C01E6F"/>
    <w:rsid w:val="00C70D2B"/>
    <w:rsid w:val="00C86C48"/>
    <w:rsid w:val="00C9758A"/>
    <w:rsid w:val="00CA2D3E"/>
    <w:rsid w:val="00CA4C08"/>
    <w:rsid w:val="00CC17AD"/>
    <w:rsid w:val="00CC28BC"/>
    <w:rsid w:val="00CD7069"/>
    <w:rsid w:val="00D1777E"/>
    <w:rsid w:val="00D63CD3"/>
    <w:rsid w:val="00DB7651"/>
    <w:rsid w:val="00DE660A"/>
    <w:rsid w:val="00E02197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717DF"/>
    <w:rsid w:val="00F927B0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B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073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073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668412-1912-4C60-8CDF-221184D2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2014-09-24T14:52:00Z</dcterms:created>
  <dcterms:modified xsi:type="dcterms:W3CDTF">2014-09-29T19:47:00Z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