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6205F" w14:textId="77777777" w:rsidR="00AD706B" w:rsidRDefault="00AD706B" w:rsidP="00AD706B">
      <w:pPr>
        <w:pStyle w:val="Heading1"/>
      </w:pPr>
      <w:r>
        <w:t>IT-</w:t>
      </w:r>
      <w:r w:rsidR="00F10214">
        <w:t xml:space="preserve"> 1.32</w:t>
      </w:r>
      <w:r>
        <w:t xml:space="preserve">:  </w:t>
      </w:r>
      <w:r w:rsidR="00F10214" w:rsidRPr="00F10214">
        <w:t>Asthma Medication Ratio (AMR)</w:t>
      </w:r>
    </w:p>
    <w:tbl>
      <w:tblPr>
        <w:tblStyle w:val="TableGrid"/>
        <w:tblW w:w="0" w:type="auto"/>
        <w:tblLook w:val="04A0" w:firstRow="1" w:lastRow="0" w:firstColumn="1" w:lastColumn="0" w:noHBand="0" w:noVBand="1"/>
      </w:tblPr>
      <w:tblGrid>
        <w:gridCol w:w="2718"/>
        <w:gridCol w:w="2286"/>
        <w:gridCol w:w="2286"/>
        <w:gridCol w:w="2286"/>
      </w:tblGrid>
      <w:tr w:rsidR="00AD706B" w:rsidRPr="006334A2" w14:paraId="70F62062" w14:textId="77777777" w:rsidTr="0011709A">
        <w:trPr>
          <w:tblHeader/>
        </w:trPr>
        <w:tc>
          <w:tcPr>
            <w:tcW w:w="2718" w:type="dxa"/>
            <w:shd w:val="clear" w:color="auto" w:fill="F2F2F2" w:themeFill="background1" w:themeFillShade="F2"/>
          </w:tcPr>
          <w:p w14:paraId="70F62060" w14:textId="77777777" w:rsidR="00AD706B" w:rsidRPr="006334A2" w:rsidRDefault="00AD706B" w:rsidP="00A374B8">
            <w:pPr>
              <w:pStyle w:val="NoSpacing"/>
              <w:rPr>
                <w:b/>
              </w:rPr>
            </w:pPr>
            <w:r w:rsidRPr="006334A2">
              <w:rPr>
                <w:b/>
              </w:rPr>
              <w:t>Measure Title</w:t>
            </w:r>
          </w:p>
        </w:tc>
        <w:tc>
          <w:tcPr>
            <w:tcW w:w="6858" w:type="dxa"/>
            <w:gridSpan w:val="3"/>
            <w:shd w:val="clear" w:color="auto" w:fill="F2F2F2" w:themeFill="background1" w:themeFillShade="F2"/>
          </w:tcPr>
          <w:p w14:paraId="70F62061" w14:textId="4DA87F32" w:rsidR="00AD706B" w:rsidRPr="006334A2" w:rsidRDefault="00F10214" w:rsidP="005C1398">
            <w:pPr>
              <w:pStyle w:val="NoSpacing"/>
              <w:rPr>
                <w:b/>
              </w:rPr>
            </w:pPr>
            <w:r w:rsidRPr="006334A2">
              <w:rPr>
                <w:b/>
              </w:rPr>
              <w:t xml:space="preserve">Asthma medication ratio: percentage of </w:t>
            </w:r>
            <w:r w:rsidR="005C1398" w:rsidRPr="006334A2">
              <w:rPr>
                <w:b/>
              </w:rPr>
              <w:t xml:space="preserve">patients </w:t>
            </w:r>
            <w:r w:rsidRPr="006334A2">
              <w:rPr>
                <w:b/>
              </w:rPr>
              <w:t>5 to 64 years of age who were identified as having persistent asthma and had a ratio of controller medications to total asthma medications of 0.50 or greater during the measurement year.</w:t>
            </w:r>
          </w:p>
        </w:tc>
      </w:tr>
      <w:tr w:rsidR="00AD706B" w:rsidRPr="006334A2" w14:paraId="70F62065" w14:textId="77777777" w:rsidTr="00A374B8">
        <w:tc>
          <w:tcPr>
            <w:tcW w:w="2718" w:type="dxa"/>
          </w:tcPr>
          <w:p w14:paraId="70F62063" w14:textId="77777777" w:rsidR="00AD706B" w:rsidRPr="006334A2" w:rsidRDefault="00AD706B" w:rsidP="00A374B8">
            <w:pPr>
              <w:pStyle w:val="NoSpacing"/>
              <w:rPr>
                <w:b/>
              </w:rPr>
            </w:pPr>
            <w:r w:rsidRPr="006334A2">
              <w:rPr>
                <w:b/>
              </w:rPr>
              <w:t>Description</w:t>
            </w:r>
          </w:p>
        </w:tc>
        <w:tc>
          <w:tcPr>
            <w:tcW w:w="6858" w:type="dxa"/>
            <w:gridSpan w:val="3"/>
          </w:tcPr>
          <w:p w14:paraId="70F62064" w14:textId="54247921" w:rsidR="00AD706B" w:rsidRPr="006334A2" w:rsidRDefault="00F10214" w:rsidP="00AF6348">
            <w:pPr>
              <w:pStyle w:val="NoSpacing"/>
            </w:pPr>
            <w:r w:rsidRPr="006334A2">
              <w:t xml:space="preserve">This measure is used to assess the percentage of </w:t>
            </w:r>
            <w:r w:rsidR="00AF6348" w:rsidRPr="006334A2">
              <w:t xml:space="preserve">patients </w:t>
            </w:r>
            <w:r w:rsidRPr="006334A2">
              <w:t>5 to 64 years of age who were identified as having persistent asthma and had a ratio of controller medications to total asthma medications of 0.50 or greater during the measurement year.</w:t>
            </w:r>
          </w:p>
        </w:tc>
      </w:tr>
      <w:tr w:rsidR="00AD706B" w:rsidRPr="006334A2" w14:paraId="70F62068" w14:textId="77777777" w:rsidTr="00A374B8">
        <w:tc>
          <w:tcPr>
            <w:tcW w:w="2718" w:type="dxa"/>
          </w:tcPr>
          <w:p w14:paraId="70F62066" w14:textId="77777777" w:rsidR="00AD706B" w:rsidRPr="006334A2" w:rsidRDefault="00AD706B" w:rsidP="00A374B8">
            <w:pPr>
              <w:pStyle w:val="NoSpacing"/>
              <w:rPr>
                <w:b/>
              </w:rPr>
            </w:pPr>
            <w:r w:rsidRPr="006334A2">
              <w:rPr>
                <w:b/>
              </w:rPr>
              <w:t>NQF Number</w:t>
            </w:r>
          </w:p>
        </w:tc>
        <w:tc>
          <w:tcPr>
            <w:tcW w:w="6858" w:type="dxa"/>
            <w:gridSpan w:val="3"/>
          </w:tcPr>
          <w:p w14:paraId="70F62067" w14:textId="77777777" w:rsidR="00AD706B" w:rsidRPr="006334A2" w:rsidRDefault="00F10214" w:rsidP="00B05CBF">
            <w:pPr>
              <w:pStyle w:val="NoSpacing"/>
            </w:pPr>
            <w:r w:rsidRPr="006334A2">
              <w:t>1800</w:t>
            </w:r>
          </w:p>
        </w:tc>
      </w:tr>
      <w:tr w:rsidR="00AD706B" w:rsidRPr="006334A2" w14:paraId="70F6206B" w14:textId="77777777" w:rsidTr="00A374B8">
        <w:tc>
          <w:tcPr>
            <w:tcW w:w="2718" w:type="dxa"/>
          </w:tcPr>
          <w:p w14:paraId="70F62069" w14:textId="77777777" w:rsidR="00AD706B" w:rsidRPr="006334A2" w:rsidRDefault="00AD706B" w:rsidP="00A374B8">
            <w:pPr>
              <w:pStyle w:val="NoSpacing"/>
              <w:rPr>
                <w:b/>
              </w:rPr>
            </w:pPr>
            <w:r w:rsidRPr="006334A2">
              <w:rPr>
                <w:b/>
              </w:rPr>
              <w:t>Measure Steward</w:t>
            </w:r>
          </w:p>
        </w:tc>
        <w:tc>
          <w:tcPr>
            <w:tcW w:w="6858" w:type="dxa"/>
            <w:gridSpan w:val="3"/>
          </w:tcPr>
          <w:p w14:paraId="70F6206A" w14:textId="2E78F11E" w:rsidR="00AD706B" w:rsidRPr="006334A2" w:rsidRDefault="00E50763" w:rsidP="00A374B8">
            <w:pPr>
              <w:pStyle w:val="NoSpacing"/>
            </w:pPr>
            <w:r>
              <w:rPr>
                <w:rStyle w:val="qps-blocker-label-detail-text2"/>
                <w:rFonts w:ascii="Helvetica" w:hAnsi="Helvetica"/>
              </w:rPr>
              <w:t>National Committee for Quality Assurance</w:t>
            </w:r>
          </w:p>
        </w:tc>
      </w:tr>
      <w:tr w:rsidR="00AD706B" w:rsidRPr="006334A2" w14:paraId="70F6206E" w14:textId="77777777" w:rsidTr="00A374B8">
        <w:tc>
          <w:tcPr>
            <w:tcW w:w="2718" w:type="dxa"/>
          </w:tcPr>
          <w:p w14:paraId="70F6206C" w14:textId="77777777" w:rsidR="00AD706B" w:rsidRPr="006334A2" w:rsidRDefault="00AD706B" w:rsidP="00A374B8">
            <w:pPr>
              <w:pStyle w:val="NoSpacing"/>
              <w:rPr>
                <w:b/>
              </w:rPr>
            </w:pPr>
            <w:r w:rsidRPr="006334A2">
              <w:rPr>
                <w:b/>
              </w:rPr>
              <w:t>Link to measure citation</w:t>
            </w:r>
          </w:p>
        </w:tc>
        <w:tc>
          <w:tcPr>
            <w:tcW w:w="6858" w:type="dxa"/>
            <w:gridSpan w:val="3"/>
          </w:tcPr>
          <w:p w14:paraId="70F6206D" w14:textId="77777777" w:rsidR="00AD706B" w:rsidRPr="006334A2" w:rsidRDefault="001E2C72" w:rsidP="00A374B8">
            <w:pPr>
              <w:pStyle w:val="NoSpacing"/>
            </w:pPr>
            <w:hyperlink r:id="rId12" w:history="1">
              <w:r w:rsidR="00AF6348" w:rsidRPr="006334A2">
                <w:rPr>
                  <w:rStyle w:val="Hyperlink"/>
                </w:rPr>
                <w:t>http://www.qualitymeasures.ahrq.gov/content.aspx?id=38867</w:t>
              </w:r>
            </w:hyperlink>
            <w:r w:rsidR="00AF6348" w:rsidRPr="006334A2">
              <w:t xml:space="preserve"> </w:t>
            </w:r>
          </w:p>
        </w:tc>
      </w:tr>
      <w:tr w:rsidR="00AD706B" w:rsidRPr="006334A2" w14:paraId="70F62071" w14:textId="77777777" w:rsidTr="00A374B8">
        <w:tc>
          <w:tcPr>
            <w:tcW w:w="2718" w:type="dxa"/>
          </w:tcPr>
          <w:p w14:paraId="70F6206F" w14:textId="77777777" w:rsidR="00AD706B" w:rsidRPr="006334A2" w:rsidRDefault="00AD706B" w:rsidP="00A374B8">
            <w:pPr>
              <w:pStyle w:val="NoSpacing"/>
              <w:rPr>
                <w:b/>
              </w:rPr>
            </w:pPr>
            <w:r w:rsidRPr="006334A2">
              <w:rPr>
                <w:b/>
              </w:rPr>
              <w:t>Measure type</w:t>
            </w:r>
          </w:p>
        </w:tc>
        <w:tc>
          <w:tcPr>
            <w:tcW w:w="6858" w:type="dxa"/>
            <w:gridSpan w:val="3"/>
          </w:tcPr>
          <w:p w14:paraId="70F62070" w14:textId="77777777" w:rsidR="00AD706B" w:rsidRPr="006334A2" w:rsidRDefault="00AD706B" w:rsidP="00F10214">
            <w:pPr>
              <w:pStyle w:val="NoSpacing"/>
            </w:pPr>
            <w:r w:rsidRPr="006334A2">
              <w:t>Stand-alone</w:t>
            </w:r>
            <w:r w:rsidR="00165D76" w:rsidRPr="006334A2">
              <w:t xml:space="preserve"> (SA)</w:t>
            </w:r>
          </w:p>
        </w:tc>
      </w:tr>
      <w:tr w:rsidR="00AD706B" w:rsidRPr="006334A2" w14:paraId="70F62074" w14:textId="77777777" w:rsidTr="00A374B8">
        <w:tc>
          <w:tcPr>
            <w:tcW w:w="2718" w:type="dxa"/>
          </w:tcPr>
          <w:p w14:paraId="70F62072" w14:textId="77777777" w:rsidR="00AD706B" w:rsidRPr="006334A2" w:rsidRDefault="00AD706B" w:rsidP="00A374B8">
            <w:pPr>
              <w:pStyle w:val="NoSpacing"/>
              <w:rPr>
                <w:b/>
              </w:rPr>
            </w:pPr>
            <w:r w:rsidRPr="006334A2">
              <w:rPr>
                <w:b/>
              </w:rPr>
              <w:t>Measure status</w:t>
            </w:r>
          </w:p>
        </w:tc>
        <w:tc>
          <w:tcPr>
            <w:tcW w:w="6858" w:type="dxa"/>
            <w:gridSpan w:val="3"/>
          </w:tcPr>
          <w:p w14:paraId="70F62073" w14:textId="77777777" w:rsidR="00AD706B" w:rsidRPr="006334A2" w:rsidRDefault="00F10214" w:rsidP="00967948">
            <w:pPr>
              <w:pStyle w:val="NoSpacing"/>
            </w:pPr>
            <w:r w:rsidRPr="006334A2">
              <w:t>P4P</w:t>
            </w:r>
            <w:r w:rsidR="00967948" w:rsidRPr="006334A2">
              <w:t xml:space="preserve"> </w:t>
            </w:r>
          </w:p>
        </w:tc>
      </w:tr>
      <w:tr w:rsidR="00AD706B" w:rsidRPr="006334A2" w14:paraId="70F62079" w14:textId="77777777" w:rsidTr="00A374B8">
        <w:tc>
          <w:tcPr>
            <w:tcW w:w="2718" w:type="dxa"/>
          </w:tcPr>
          <w:p w14:paraId="70F62075" w14:textId="77777777" w:rsidR="00AD706B" w:rsidRPr="006334A2" w:rsidRDefault="00AD706B" w:rsidP="00A374B8">
            <w:pPr>
              <w:pStyle w:val="NoSpacing"/>
              <w:rPr>
                <w:b/>
              </w:rPr>
            </w:pPr>
            <w:r w:rsidRPr="006334A2">
              <w:rPr>
                <w:b/>
              </w:rPr>
              <w:t>DSRIP-specific modifications to Measure Steward’s specification</w:t>
            </w:r>
          </w:p>
        </w:tc>
        <w:tc>
          <w:tcPr>
            <w:tcW w:w="6858" w:type="dxa"/>
            <w:gridSpan w:val="3"/>
          </w:tcPr>
          <w:p w14:paraId="70F62076" w14:textId="77777777" w:rsidR="009F78A7" w:rsidRPr="006334A2" w:rsidRDefault="009F78A7" w:rsidP="009F78A7">
            <w:pPr>
              <w:pStyle w:val="NoSpacing"/>
            </w:pPr>
            <w:r w:rsidRPr="006334A2">
              <w:t>The Measure Steward’s specification has been modified as follows:</w:t>
            </w:r>
          </w:p>
          <w:p w14:paraId="70F62077" w14:textId="77777777" w:rsidR="00DD4BCB" w:rsidRDefault="00DD4BCB" w:rsidP="00DD4BCB">
            <w:pPr>
              <w:pStyle w:val="NoSpacing"/>
              <w:numPr>
                <w:ilvl w:val="0"/>
                <w:numId w:val="9"/>
              </w:numPr>
            </w:pPr>
            <w:r w:rsidRPr="006334A2">
              <w:t>Remove health plan specific language from description and denominator, replace member with patient.</w:t>
            </w:r>
          </w:p>
          <w:p w14:paraId="611A4223" w14:textId="582C83D6" w:rsidR="00354EAB" w:rsidRPr="006334A2" w:rsidRDefault="00354EAB" w:rsidP="00DD4BCB">
            <w:pPr>
              <w:pStyle w:val="NoSpacing"/>
              <w:numPr>
                <w:ilvl w:val="0"/>
                <w:numId w:val="9"/>
              </w:numPr>
            </w:pPr>
            <w:r>
              <w:t>Removed dates to make measure agnostic to calendar year.</w:t>
            </w:r>
          </w:p>
          <w:p w14:paraId="70F62078" w14:textId="7142B69F" w:rsidR="009F78A7" w:rsidRPr="006334A2" w:rsidRDefault="009F78A7" w:rsidP="00354EAB">
            <w:pPr>
              <w:pStyle w:val="NoSpacing"/>
              <w:ind w:left="720"/>
            </w:pPr>
          </w:p>
        </w:tc>
      </w:tr>
      <w:tr w:rsidR="00AD706B" w:rsidRPr="006334A2" w14:paraId="70F6207C" w14:textId="77777777" w:rsidTr="00A374B8">
        <w:tc>
          <w:tcPr>
            <w:tcW w:w="2718" w:type="dxa"/>
          </w:tcPr>
          <w:p w14:paraId="70F6207A" w14:textId="77777777" w:rsidR="00AD706B" w:rsidRPr="006334A2" w:rsidRDefault="00AD706B" w:rsidP="001D6BEA">
            <w:pPr>
              <w:pStyle w:val="NoSpacing"/>
              <w:rPr>
                <w:b/>
              </w:rPr>
            </w:pPr>
            <w:r w:rsidRPr="006334A2">
              <w:rPr>
                <w:b/>
              </w:rPr>
              <w:t>Denominator</w:t>
            </w:r>
            <w:r w:rsidR="00C01E6F" w:rsidRPr="006334A2">
              <w:rPr>
                <w:b/>
              </w:rPr>
              <w:t xml:space="preserve"> </w:t>
            </w:r>
            <w:r w:rsidR="00B05CBF" w:rsidRPr="006334A2">
              <w:rPr>
                <w:b/>
              </w:rPr>
              <w:t>Description</w:t>
            </w:r>
            <w:r w:rsidR="00C01E6F" w:rsidRPr="006334A2">
              <w:rPr>
                <w:b/>
              </w:rPr>
              <w:t xml:space="preserve"> </w:t>
            </w:r>
          </w:p>
        </w:tc>
        <w:tc>
          <w:tcPr>
            <w:tcW w:w="6858" w:type="dxa"/>
            <w:gridSpan w:val="3"/>
          </w:tcPr>
          <w:p w14:paraId="70F6207B" w14:textId="5B278664" w:rsidR="00AD706B" w:rsidRPr="006334A2" w:rsidRDefault="00AF6348" w:rsidP="00354EAB">
            <w:pPr>
              <w:pStyle w:val="NoSpacing"/>
            </w:pPr>
            <w:r w:rsidRPr="006334A2">
              <w:t>Patients</w:t>
            </w:r>
            <w:r w:rsidR="00460BD8" w:rsidRPr="006334A2">
              <w:t xml:space="preserve"> 5 to 64 years of age by </w:t>
            </w:r>
            <w:r w:rsidR="00354EAB">
              <w:t xml:space="preserve">the end </w:t>
            </w:r>
            <w:r w:rsidR="00460BD8" w:rsidRPr="006334A2">
              <w:t>of the measurement year with persistent asthma (see the related "Denominator Inclusions/Exclusions" field)</w:t>
            </w:r>
          </w:p>
        </w:tc>
      </w:tr>
      <w:tr w:rsidR="00B05CBF" w:rsidRPr="006334A2" w14:paraId="70F62089" w14:textId="77777777" w:rsidTr="00B05CBF">
        <w:trPr>
          <w:trHeight w:val="728"/>
        </w:trPr>
        <w:tc>
          <w:tcPr>
            <w:tcW w:w="2718" w:type="dxa"/>
          </w:tcPr>
          <w:p w14:paraId="70F6207D" w14:textId="77777777" w:rsidR="00B05CBF" w:rsidRPr="006334A2" w:rsidRDefault="00B05CBF" w:rsidP="00C01E6F">
            <w:pPr>
              <w:pStyle w:val="NoSpacing"/>
              <w:rPr>
                <w:b/>
              </w:rPr>
            </w:pPr>
            <w:r w:rsidRPr="006334A2">
              <w:rPr>
                <w:b/>
              </w:rPr>
              <w:t>Denominator Inclusions</w:t>
            </w:r>
          </w:p>
        </w:tc>
        <w:tc>
          <w:tcPr>
            <w:tcW w:w="6858" w:type="dxa"/>
            <w:gridSpan w:val="3"/>
          </w:tcPr>
          <w:p w14:paraId="70F6207E" w14:textId="5285194A" w:rsidR="00DD4BCB" w:rsidRPr="006334A2" w:rsidRDefault="00AF6348" w:rsidP="00DD4BCB">
            <w:pPr>
              <w:pStyle w:val="NoSpacing"/>
            </w:pPr>
            <w:r w:rsidRPr="006334A2">
              <w:t>Patients</w:t>
            </w:r>
            <w:r w:rsidR="00DD4BCB" w:rsidRPr="006334A2">
              <w:t xml:space="preserve"> 5 to 64 years of age by </w:t>
            </w:r>
            <w:r w:rsidR="00354EAB">
              <w:t>the end</w:t>
            </w:r>
            <w:r w:rsidR="00DD4BCB" w:rsidRPr="006334A2">
              <w:t xml:space="preserve"> of the measurement year with persistent asthma</w:t>
            </w:r>
          </w:p>
          <w:p w14:paraId="70F6207F" w14:textId="77777777" w:rsidR="00DD4BCB" w:rsidRPr="006334A2" w:rsidRDefault="00DD4BCB" w:rsidP="00DD4BCB">
            <w:pPr>
              <w:pStyle w:val="NoSpacing"/>
            </w:pPr>
            <w:r w:rsidRPr="006334A2">
              <w:t xml:space="preserve"> </w:t>
            </w:r>
          </w:p>
          <w:p w14:paraId="70F62080" w14:textId="77777777" w:rsidR="00DD4BCB" w:rsidRPr="006334A2" w:rsidRDefault="00DD4BCB" w:rsidP="00DD4BCB">
            <w:pPr>
              <w:pStyle w:val="NoSpacing"/>
            </w:pPr>
            <w:r w:rsidRPr="006334A2">
              <w:t>Note:</w:t>
            </w:r>
          </w:p>
          <w:p w14:paraId="70F62083" w14:textId="20514686" w:rsidR="00E62524" w:rsidRPr="006334A2" w:rsidRDefault="00DD4BCB" w:rsidP="00DD4BCB">
            <w:pPr>
              <w:pStyle w:val="NoSpacing"/>
            </w:pPr>
            <w:r w:rsidRPr="006334A2">
              <w:t>•</w:t>
            </w:r>
            <w:r w:rsidR="00E62524" w:rsidRPr="006334A2">
              <w:t xml:space="preserve"> </w:t>
            </w:r>
            <w:r w:rsidR="005C1398" w:rsidRPr="006334A2">
              <w:t xml:space="preserve">Patients </w:t>
            </w:r>
            <w:r w:rsidRPr="006334A2">
              <w:t xml:space="preserve">must have </w:t>
            </w:r>
            <w:r w:rsidR="00354EAB" w:rsidRPr="00354EAB">
              <w:t>had at least one (1) outpatient encounter in the prior 12-month period</w:t>
            </w:r>
            <w:r w:rsidR="00354EAB" w:rsidRPr="00354EAB" w:rsidDel="00354EAB">
              <w:t xml:space="preserve"> </w:t>
            </w:r>
            <w:r w:rsidRPr="006334A2">
              <w:t>•</w:t>
            </w:r>
            <w:r w:rsidR="00E62524" w:rsidRPr="006334A2">
              <w:t xml:space="preserve"> </w:t>
            </w:r>
            <w:r w:rsidRPr="006334A2">
              <w:t xml:space="preserve">Identify </w:t>
            </w:r>
            <w:r w:rsidR="00354EAB">
              <w:t>p</w:t>
            </w:r>
            <w:r w:rsidR="005C1398" w:rsidRPr="006334A2">
              <w:t xml:space="preserve">atients </w:t>
            </w:r>
            <w:r w:rsidRPr="006334A2">
              <w:t xml:space="preserve">as having persistent asthma who met at least one of the following criteria during both the measurement year and the year prior to the measurement year. Criteria need not be the same across both years. </w:t>
            </w:r>
          </w:p>
          <w:p w14:paraId="70F62084" w14:textId="595B65D0" w:rsidR="00DD4BCB" w:rsidRPr="006334A2" w:rsidRDefault="00DD4BCB" w:rsidP="00DD4BCB">
            <w:pPr>
              <w:pStyle w:val="NoSpacing"/>
            </w:pPr>
            <w:r w:rsidRPr="006334A2">
              <w:t>•</w:t>
            </w:r>
            <w:r w:rsidR="00E62524" w:rsidRPr="006334A2">
              <w:t xml:space="preserve"> </w:t>
            </w:r>
            <w:r w:rsidRPr="006334A2">
              <w:t xml:space="preserve">At least one ED visit with asthma as the principal diagnosis </w:t>
            </w:r>
          </w:p>
          <w:p w14:paraId="70F62085" w14:textId="5E045F0E" w:rsidR="00DD4BCB" w:rsidRPr="006334A2" w:rsidRDefault="00DD4BCB" w:rsidP="00DD4BCB">
            <w:pPr>
              <w:pStyle w:val="NoSpacing"/>
            </w:pPr>
            <w:r w:rsidRPr="006334A2">
              <w:t>•</w:t>
            </w:r>
            <w:r w:rsidR="00E62524" w:rsidRPr="006334A2">
              <w:t xml:space="preserve"> </w:t>
            </w:r>
            <w:r w:rsidRPr="006334A2">
              <w:t xml:space="preserve">At least one acute inpatient claim/ with asthma as the principal diagnosis </w:t>
            </w:r>
          </w:p>
          <w:p w14:paraId="70F62086" w14:textId="10FE035D" w:rsidR="00DD4BCB" w:rsidRPr="006334A2" w:rsidRDefault="00DD4BCB" w:rsidP="00DD4BCB">
            <w:pPr>
              <w:pStyle w:val="NoSpacing"/>
            </w:pPr>
            <w:r w:rsidRPr="006334A2">
              <w:t>•</w:t>
            </w:r>
            <w:r w:rsidR="00E62524" w:rsidRPr="006334A2">
              <w:t xml:space="preserve"> </w:t>
            </w:r>
            <w:r w:rsidRPr="006334A2">
              <w:t xml:space="preserve">At least four outpatient asthma visits on different dates of service, with asthma as one of the listed diagnoses  and at least two asthma medication dispensing events </w:t>
            </w:r>
          </w:p>
          <w:p w14:paraId="70F62087" w14:textId="7BD3CCC4" w:rsidR="00DD4BCB" w:rsidRPr="006334A2" w:rsidRDefault="00DD4BCB" w:rsidP="00DD4BCB">
            <w:pPr>
              <w:pStyle w:val="NoSpacing"/>
            </w:pPr>
            <w:r w:rsidRPr="006334A2">
              <w:t>•</w:t>
            </w:r>
            <w:r w:rsidR="00E62524" w:rsidRPr="006334A2">
              <w:t xml:space="preserve"> </w:t>
            </w:r>
            <w:r w:rsidRPr="006334A2">
              <w:t xml:space="preserve">At least four asthma medication dispensing events </w:t>
            </w:r>
          </w:p>
          <w:p w14:paraId="70F62088" w14:textId="02B178DE" w:rsidR="00B05CBF" w:rsidRPr="006334A2" w:rsidRDefault="00DD4BCB" w:rsidP="00F64895">
            <w:pPr>
              <w:pStyle w:val="NoSpacing"/>
              <w:rPr>
                <w:b/>
              </w:rPr>
            </w:pPr>
            <w:r w:rsidRPr="006334A2">
              <w:t>•</w:t>
            </w:r>
            <w:r w:rsidR="00E62524" w:rsidRPr="006334A2">
              <w:t xml:space="preserve"> </w:t>
            </w:r>
            <w:r w:rsidRPr="006334A2">
              <w:t xml:space="preserve">A </w:t>
            </w:r>
            <w:r w:rsidR="005C1398" w:rsidRPr="006334A2">
              <w:t xml:space="preserve">patient </w:t>
            </w:r>
            <w:r w:rsidRPr="006334A2">
              <w:t>identified as having persistent asthma because of at least four asthma medication dispensing events, where leukotriene modifiers were the sole asthma medication dispensed in that year, must also have at least one diagnosis of asthma in any setting, in the same year as the leukotriene modifier.</w:t>
            </w:r>
          </w:p>
        </w:tc>
      </w:tr>
      <w:tr w:rsidR="00B05CBF" w:rsidRPr="006334A2" w14:paraId="70F6208D" w14:textId="77777777" w:rsidTr="00B05CBF">
        <w:trPr>
          <w:trHeight w:val="710"/>
        </w:trPr>
        <w:tc>
          <w:tcPr>
            <w:tcW w:w="2718" w:type="dxa"/>
          </w:tcPr>
          <w:p w14:paraId="70F6208A" w14:textId="77777777" w:rsidR="00B05CBF" w:rsidRPr="006334A2" w:rsidRDefault="00B05CBF" w:rsidP="00C01E6F">
            <w:pPr>
              <w:pStyle w:val="NoSpacing"/>
              <w:rPr>
                <w:b/>
              </w:rPr>
            </w:pPr>
            <w:r w:rsidRPr="006334A2">
              <w:rPr>
                <w:b/>
              </w:rPr>
              <w:lastRenderedPageBreak/>
              <w:t>Denominator Exclusions</w:t>
            </w:r>
          </w:p>
        </w:tc>
        <w:tc>
          <w:tcPr>
            <w:tcW w:w="6858" w:type="dxa"/>
            <w:gridSpan w:val="3"/>
          </w:tcPr>
          <w:p w14:paraId="70F6208B" w14:textId="6D44950E" w:rsidR="00DD4BCB" w:rsidRPr="006334A2" w:rsidRDefault="00DD4BCB" w:rsidP="00DD4BCB">
            <w:pPr>
              <w:pStyle w:val="NoSpacing"/>
            </w:pPr>
            <w:r w:rsidRPr="006334A2">
              <w:t>•</w:t>
            </w:r>
            <w:r w:rsidR="00DC4BA3" w:rsidRPr="006334A2">
              <w:t xml:space="preserve"> </w:t>
            </w:r>
            <w:r w:rsidR="005C1398" w:rsidRPr="006334A2">
              <w:t>Patients</w:t>
            </w:r>
            <w:r w:rsidRPr="006334A2">
              <w:t xml:space="preserve"> who had at least one encounter, in any setting, with any code to identify a diagnosis of emphysema, chronic obstructive pulmonary disease (COPD), cystic fibrosis, or acute respiratory failure. Look as far back as possible in the </w:t>
            </w:r>
            <w:r w:rsidR="005C1398" w:rsidRPr="006334A2">
              <w:t xml:space="preserve">patient's </w:t>
            </w:r>
            <w:r w:rsidRPr="006334A2">
              <w:t xml:space="preserve">history through </w:t>
            </w:r>
            <w:r w:rsidR="00354EAB">
              <w:t>the end</w:t>
            </w:r>
            <w:r w:rsidRPr="006334A2">
              <w:t xml:space="preserve"> of the measurement year. </w:t>
            </w:r>
          </w:p>
          <w:p w14:paraId="70F6208C" w14:textId="4371EE15" w:rsidR="00B05CBF" w:rsidRPr="006334A2" w:rsidRDefault="00DD4BCB" w:rsidP="00F64895">
            <w:pPr>
              <w:pStyle w:val="NoSpacing"/>
            </w:pPr>
            <w:r w:rsidRPr="006334A2">
              <w:t>•</w:t>
            </w:r>
            <w:r w:rsidR="00DC4BA3" w:rsidRPr="006334A2">
              <w:t xml:space="preserve"> </w:t>
            </w:r>
            <w:r w:rsidR="005C1398" w:rsidRPr="006334A2">
              <w:t xml:space="preserve">Patients </w:t>
            </w:r>
            <w:r w:rsidRPr="006334A2">
              <w:t>who have no asthma controller or reliever medications dispensed during the measurement year.</w:t>
            </w:r>
          </w:p>
        </w:tc>
      </w:tr>
      <w:tr w:rsidR="00D63CD3" w:rsidRPr="006334A2" w14:paraId="70F62093" w14:textId="77777777" w:rsidTr="00A374B8">
        <w:tc>
          <w:tcPr>
            <w:tcW w:w="2718" w:type="dxa"/>
          </w:tcPr>
          <w:p w14:paraId="70F6208E" w14:textId="77777777" w:rsidR="00D63CD3" w:rsidRPr="006334A2" w:rsidRDefault="00D63CD3" w:rsidP="00AF103E">
            <w:pPr>
              <w:pStyle w:val="NoSpacing"/>
              <w:rPr>
                <w:b/>
              </w:rPr>
            </w:pPr>
            <w:r w:rsidRPr="006334A2">
              <w:rPr>
                <w:b/>
              </w:rPr>
              <w:t>Denominator Size</w:t>
            </w:r>
          </w:p>
        </w:tc>
        <w:tc>
          <w:tcPr>
            <w:tcW w:w="6858" w:type="dxa"/>
            <w:gridSpan w:val="3"/>
          </w:tcPr>
          <w:p w14:paraId="70F6208F" w14:textId="77777777" w:rsidR="00D63CD3" w:rsidRPr="006334A2" w:rsidRDefault="00D63CD3" w:rsidP="00D63CD3">
            <w:pPr>
              <w:pStyle w:val="NoSpacing"/>
            </w:pPr>
            <w:r w:rsidRPr="006334A2">
              <w:t xml:space="preserve">Providers must report a </w:t>
            </w:r>
            <w:r w:rsidR="0011709A" w:rsidRPr="006334A2">
              <w:t>minimum of 3</w:t>
            </w:r>
            <w:r w:rsidR="0032246B" w:rsidRPr="006334A2">
              <w:t xml:space="preserve">0 cases per measure during a </w:t>
            </w:r>
            <w:r w:rsidR="0011709A" w:rsidRPr="006334A2">
              <w:t>12-month measurement period (15 cases for a 6-month measurement period)</w:t>
            </w:r>
          </w:p>
          <w:p w14:paraId="70F62090" w14:textId="77777777" w:rsidR="0032246B" w:rsidRPr="006334A2" w:rsidRDefault="0032246B" w:rsidP="0032246B">
            <w:pPr>
              <w:pStyle w:val="NoSpacing"/>
              <w:numPr>
                <w:ilvl w:val="0"/>
                <w:numId w:val="8"/>
              </w:numPr>
            </w:pPr>
            <w:r w:rsidRPr="006334A2">
              <w:t xml:space="preserve">For a measurement period </w:t>
            </w:r>
            <w:r w:rsidR="003A409E" w:rsidRPr="006334A2">
              <w:t xml:space="preserve">(either 6 or 12 </w:t>
            </w:r>
            <w:r w:rsidR="0011709A" w:rsidRPr="006334A2">
              <w:t xml:space="preserve">months) where the </w:t>
            </w:r>
            <w:r w:rsidRPr="006334A2">
              <w:t>denominator size is less than or equal to 75, providers must report on all cases. No sampling is allowed.</w:t>
            </w:r>
          </w:p>
          <w:p w14:paraId="70F62091" w14:textId="77777777" w:rsidR="0032246B" w:rsidRPr="006334A2" w:rsidRDefault="0032246B" w:rsidP="0032246B">
            <w:pPr>
              <w:pStyle w:val="NoSpacing"/>
              <w:numPr>
                <w:ilvl w:val="0"/>
                <w:numId w:val="8"/>
              </w:numPr>
            </w:pPr>
            <w:r w:rsidRPr="006334A2">
              <w:t xml:space="preserve">For a measurement period </w:t>
            </w:r>
            <w:r w:rsidR="003A409E" w:rsidRPr="006334A2">
              <w:t xml:space="preserve">(either 6 or 12 </w:t>
            </w:r>
            <w:r w:rsidR="0011709A" w:rsidRPr="006334A2">
              <w:t xml:space="preserve">months) where the </w:t>
            </w:r>
            <w:r w:rsidRPr="006334A2">
              <w:t xml:space="preserve">denominator size is less than or equal to 380 but greater than 75, providers must report on </w:t>
            </w:r>
            <w:r w:rsidR="003A409E" w:rsidRPr="006334A2">
              <w:t xml:space="preserve">all cases (preferred, particularly for providers using an electronic health record) or </w:t>
            </w:r>
            <w:r w:rsidRPr="006334A2">
              <w:t>a random sample of not less than 76 cases.</w:t>
            </w:r>
          </w:p>
          <w:p w14:paraId="70F62092" w14:textId="70C6D46D" w:rsidR="0032246B" w:rsidRPr="006334A2" w:rsidRDefault="0032246B" w:rsidP="00E50763">
            <w:pPr>
              <w:pStyle w:val="NoSpacing"/>
              <w:numPr>
                <w:ilvl w:val="0"/>
                <w:numId w:val="8"/>
              </w:numPr>
            </w:pPr>
            <w:r w:rsidRPr="006334A2">
              <w:t xml:space="preserve">For a measurement period </w:t>
            </w:r>
            <w:r w:rsidR="0011709A" w:rsidRPr="006334A2">
              <w:t>(either 6 or 12-months) where the denominator size</w:t>
            </w:r>
            <w:r w:rsidRPr="006334A2">
              <w:t xml:space="preserve"> is greater than </w:t>
            </w:r>
            <w:r w:rsidR="00E50763">
              <w:t>380</w:t>
            </w:r>
            <w:r w:rsidRPr="006334A2">
              <w:t xml:space="preserve">, providers must report on </w:t>
            </w:r>
            <w:r w:rsidR="003A409E" w:rsidRPr="006334A2">
              <w:t xml:space="preserve">all cases (preferred, particularly for providers using an electronic health record) or </w:t>
            </w:r>
            <w:r w:rsidRPr="006334A2">
              <w:t xml:space="preserve">a random sample of cases that is not less than 20% of all cases; however, providers may cap the </w:t>
            </w:r>
            <w:r w:rsidR="0011709A" w:rsidRPr="006334A2">
              <w:t xml:space="preserve">total </w:t>
            </w:r>
            <w:r w:rsidRPr="006334A2">
              <w:t xml:space="preserve">sample size at 300 cases. </w:t>
            </w:r>
          </w:p>
        </w:tc>
      </w:tr>
      <w:tr w:rsidR="00AC3A97" w:rsidRPr="006334A2" w14:paraId="70F62096" w14:textId="77777777" w:rsidTr="00A374B8">
        <w:tc>
          <w:tcPr>
            <w:tcW w:w="2718" w:type="dxa"/>
          </w:tcPr>
          <w:p w14:paraId="70F62094" w14:textId="77777777" w:rsidR="00AC3A97" w:rsidRPr="006334A2" w:rsidRDefault="00AC3A97" w:rsidP="00AF103E">
            <w:pPr>
              <w:pStyle w:val="NoSpacing"/>
              <w:rPr>
                <w:b/>
              </w:rPr>
            </w:pPr>
            <w:r w:rsidRPr="006334A2">
              <w:rPr>
                <w:b/>
              </w:rPr>
              <w:t xml:space="preserve">Numerator Description </w:t>
            </w:r>
          </w:p>
        </w:tc>
        <w:tc>
          <w:tcPr>
            <w:tcW w:w="6858" w:type="dxa"/>
            <w:gridSpan w:val="3"/>
          </w:tcPr>
          <w:p w14:paraId="70F62095" w14:textId="04C77D90" w:rsidR="00AC3A97" w:rsidRPr="006334A2" w:rsidRDefault="00460BD8" w:rsidP="005C1398">
            <w:pPr>
              <w:pStyle w:val="NoSpacing"/>
            </w:pPr>
            <w:r w:rsidRPr="006334A2">
              <w:t xml:space="preserve">The number of </w:t>
            </w:r>
            <w:r w:rsidR="005C1398" w:rsidRPr="006334A2">
              <w:t xml:space="preserve">patients </w:t>
            </w:r>
            <w:r w:rsidRPr="006334A2">
              <w:t>who have a medication ratio of 0.50 or greater during the measurement year (see the related "Numerator Inclusions/Exclusions field)</w:t>
            </w:r>
          </w:p>
        </w:tc>
      </w:tr>
      <w:tr w:rsidR="00AC3A97" w:rsidRPr="006334A2" w14:paraId="70F620A1" w14:textId="77777777" w:rsidTr="00A374B8">
        <w:tc>
          <w:tcPr>
            <w:tcW w:w="2718" w:type="dxa"/>
          </w:tcPr>
          <w:p w14:paraId="70F62097" w14:textId="77777777" w:rsidR="00AC3A97" w:rsidRPr="006334A2" w:rsidRDefault="00AC3A97" w:rsidP="00AF103E">
            <w:pPr>
              <w:pStyle w:val="NoSpacing"/>
              <w:rPr>
                <w:b/>
              </w:rPr>
            </w:pPr>
            <w:r w:rsidRPr="006334A2">
              <w:rPr>
                <w:b/>
              </w:rPr>
              <w:t>Numerator Inclusions</w:t>
            </w:r>
          </w:p>
        </w:tc>
        <w:tc>
          <w:tcPr>
            <w:tcW w:w="6858" w:type="dxa"/>
            <w:gridSpan w:val="3"/>
          </w:tcPr>
          <w:p w14:paraId="70F62098" w14:textId="77777777" w:rsidR="00DD4BCB" w:rsidRPr="006334A2" w:rsidRDefault="00DD4BCB" w:rsidP="00DD4BCB">
            <w:pPr>
              <w:pStyle w:val="NoSpacing"/>
            </w:pPr>
            <w:r w:rsidRPr="006334A2">
              <w:t>Inclusions</w:t>
            </w:r>
          </w:p>
          <w:p w14:paraId="70F62099" w14:textId="7428C04C" w:rsidR="00DD4BCB" w:rsidRPr="006334A2" w:rsidRDefault="00DD4BCB" w:rsidP="00DD4BCB">
            <w:pPr>
              <w:pStyle w:val="NoSpacing"/>
            </w:pPr>
            <w:r w:rsidRPr="006334A2">
              <w:t xml:space="preserve"> The number of </w:t>
            </w:r>
            <w:r w:rsidR="005C1398" w:rsidRPr="006334A2">
              <w:t xml:space="preserve">patients </w:t>
            </w:r>
            <w:r w:rsidRPr="006334A2">
              <w:t xml:space="preserve">who have a medication ratio of 0.50 or greater during the measurement year </w:t>
            </w:r>
          </w:p>
          <w:p w14:paraId="70F6209A" w14:textId="77777777" w:rsidR="00DD4BCB" w:rsidRPr="006334A2" w:rsidRDefault="00DD4BCB" w:rsidP="00DD4BCB">
            <w:pPr>
              <w:pStyle w:val="NoSpacing"/>
            </w:pPr>
          </w:p>
          <w:p w14:paraId="70F6209B" w14:textId="77777777" w:rsidR="00DD4BCB" w:rsidRPr="006334A2" w:rsidRDefault="00DD4BCB" w:rsidP="00DD4BCB">
            <w:pPr>
              <w:pStyle w:val="NoSpacing"/>
            </w:pPr>
            <w:r w:rsidRPr="006334A2">
              <w:t xml:space="preserve">Note: </w:t>
            </w:r>
          </w:p>
          <w:p w14:paraId="70F6209C" w14:textId="3E4C3964" w:rsidR="00DD4BCB" w:rsidRPr="006334A2" w:rsidRDefault="00DD4BCB" w:rsidP="00DD4BCB">
            <w:pPr>
              <w:pStyle w:val="NoSpacing"/>
            </w:pPr>
            <w:r w:rsidRPr="006334A2">
              <w:t>•</w:t>
            </w:r>
            <w:r w:rsidR="00DC4BA3" w:rsidRPr="006334A2">
              <w:t xml:space="preserve"> </w:t>
            </w:r>
            <w:r w:rsidRPr="006334A2">
              <w:t xml:space="preserve">For each </w:t>
            </w:r>
            <w:r w:rsidR="005C1398" w:rsidRPr="006334A2">
              <w:t>patient</w:t>
            </w:r>
            <w:r w:rsidRPr="006334A2">
              <w:t xml:space="preserve">, count the units of controller medications dispensed during the measurement year. Each dispensing event is one unit. Count the units of reliever medications dispensed during the measurement year. Each dispensing event is one unit. Sum the units of controller medications and reliever medications to determine units of total asthma medications. Calculate the ratio of controller medications to total asthma medications. </w:t>
            </w:r>
          </w:p>
          <w:p w14:paraId="70F6209D" w14:textId="77777777" w:rsidR="00DD4BCB" w:rsidRPr="006334A2" w:rsidRDefault="00DD4BCB" w:rsidP="00DD4BCB">
            <w:pPr>
              <w:pStyle w:val="NoSpacing"/>
            </w:pPr>
            <w:r w:rsidRPr="006334A2">
              <w:t>•</w:t>
            </w:r>
            <w:r w:rsidR="00DC4BA3" w:rsidRPr="006334A2">
              <w:t xml:space="preserve"> </w:t>
            </w:r>
            <w:r w:rsidRPr="006334A2">
              <w:t xml:space="preserve">Oral Medication Dispensing Event: One prescription of an amount lasting 30 days or less. To calculate dispensing events for prescriptions longer than 30 days, divide the </w:t>
            </w:r>
            <w:proofErr w:type="spellStart"/>
            <w:r w:rsidRPr="006334A2">
              <w:t>days</w:t>
            </w:r>
            <w:proofErr w:type="spellEnd"/>
            <w:r w:rsidRPr="006334A2">
              <w:t xml:space="preserve"> supply by 30 and round down to convert. The organization should allocate the dispensing events to the appropriate year based on the date on which the prescription is filled. </w:t>
            </w:r>
          </w:p>
          <w:p w14:paraId="70F6209E" w14:textId="77777777" w:rsidR="00DD4BCB" w:rsidRPr="006334A2" w:rsidRDefault="00DD4BCB" w:rsidP="00DD4BCB">
            <w:pPr>
              <w:pStyle w:val="NoSpacing"/>
            </w:pPr>
            <w:r w:rsidRPr="006334A2">
              <w:lastRenderedPageBreak/>
              <w:t>•</w:t>
            </w:r>
            <w:r w:rsidR="00DC4BA3" w:rsidRPr="006334A2">
              <w:t xml:space="preserve"> </w:t>
            </w:r>
            <w:r w:rsidRPr="006334A2">
              <w:t xml:space="preserve">Multiple prescriptions for different medications dispensed on the same day are assessed separately. If multiple prescriptions for the same medication are dispensed on the same day, the organization should sum the </w:t>
            </w:r>
            <w:proofErr w:type="spellStart"/>
            <w:r w:rsidRPr="006334A2">
              <w:t>days</w:t>
            </w:r>
            <w:proofErr w:type="spellEnd"/>
            <w:r w:rsidRPr="006334A2">
              <w:t xml:space="preserve"> supply and divide by 30. </w:t>
            </w:r>
          </w:p>
          <w:p w14:paraId="70F6209F" w14:textId="77777777" w:rsidR="00DD4BCB" w:rsidRPr="006334A2" w:rsidRDefault="00DD4BCB" w:rsidP="00DD4BCB">
            <w:pPr>
              <w:pStyle w:val="NoSpacing"/>
            </w:pPr>
            <w:r w:rsidRPr="006334A2">
              <w:t>•</w:t>
            </w:r>
            <w:r w:rsidR="00DC4BA3" w:rsidRPr="006334A2">
              <w:t xml:space="preserve"> </w:t>
            </w:r>
            <w:r w:rsidRPr="006334A2">
              <w:t xml:space="preserve">Inhaler Dispensing Event: Each inhaler (i.e., canister) counts as one dispensing event. Multiple dispensing events of the same or different medication are assessed separately (even if medications were filled on the same date of service). The organization should allocate the dispensing events to the appropriate year based on the date on which the prescription is filled. </w:t>
            </w:r>
          </w:p>
          <w:p w14:paraId="70F620A0" w14:textId="77777777" w:rsidR="00AC3A97" w:rsidRPr="006334A2" w:rsidRDefault="00DD4BCB" w:rsidP="00DD4BCB">
            <w:pPr>
              <w:pStyle w:val="NoSpacing"/>
              <w:rPr>
                <w:b/>
              </w:rPr>
            </w:pPr>
            <w:r w:rsidRPr="006334A2">
              <w:t>•</w:t>
            </w:r>
            <w:r w:rsidR="00DC4BA3" w:rsidRPr="006334A2">
              <w:t xml:space="preserve"> </w:t>
            </w:r>
            <w:r w:rsidRPr="006334A2">
              <w:t>Injection Dispensing Event: Injections count as one dispensing event. Multiple dispensing events of the same or different medication are assessed separate</w:t>
            </w:r>
            <w:bookmarkStart w:id="0" w:name="_GoBack"/>
            <w:bookmarkEnd w:id="0"/>
            <w:r w:rsidRPr="006334A2">
              <w:t>ly. The organization should allocate the dispensing events to the appropriate year based on the date on which the prescription is filled.</w:t>
            </w:r>
          </w:p>
        </w:tc>
      </w:tr>
      <w:tr w:rsidR="00AC3A97" w:rsidRPr="006334A2" w14:paraId="70F620A4" w14:textId="77777777" w:rsidTr="00A374B8">
        <w:tc>
          <w:tcPr>
            <w:tcW w:w="2718" w:type="dxa"/>
          </w:tcPr>
          <w:p w14:paraId="70F620A2" w14:textId="77777777" w:rsidR="00AC3A97" w:rsidRPr="006334A2" w:rsidRDefault="00AC3A97" w:rsidP="00AF103E">
            <w:pPr>
              <w:pStyle w:val="NoSpacing"/>
              <w:rPr>
                <w:b/>
              </w:rPr>
            </w:pPr>
            <w:r w:rsidRPr="006334A2">
              <w:rPr>
                <w:b/>
              </w:rPr>
              <w:lastRenderedPageBreak/>
              <w:t>Numerator Exclusions</w:t>
            </w:r>
          </w:p>
        </w:tc>
        <w:tc>
          <w:tcPr>
            <w:tcW w:w="6858" w:type="dxa"/>
            <w:gridSpan w:val="3"/>
          </w:tcPr>
          <w:p w14:paraId="70F620A3" w14:textId="77777777" w:rsidR="00AC3A97" w:rsidRPr="006334A2" w:rsidRDefault="009F04D0" w:rsidP="002E14AF">
            <w:pPr>
              <w:pStyle w:val="NoSpacing"/>
            </w:pPr>
            <w:r w:rsidRPr="006334A2">
              <w:t>The Measure Steward does not identify specific numerator exclusions beyond what is described</w:t>
            </w:r>
            <w:r w:rsidR="00DD4BCB" w:rsidRPr="006334A2">
              <w:t xml:space="preserve"> in the numerator description.</w:t>
            </w:r>
          </w:p>
        </w:tc>
      </w:tr>
      <w:tr w:rsidR="00AD706B" w:rsidRPr="006334A2" w14:paraId="70F620A7" w14:textId="77777777" w:rsidTr="00A374B8">
        <w:tc>
          <w:tcPr>
            <w:tcW w:w="2718" w:type="dxa"/>
          </w:tcPr>
          <w:p w14:paraId="70F620A5" w14:textId="77777777" w:rsidR="00AD706B" w:rsidRPr="006334A2" w:rsidRDefault="00AD706B" w:rsidP="00A374B8">
            <w:pPr>
              <w:pStyle w:val="NoSpacing"/>
              <w:rPr>
                <w:b/>
              </w:rPr>
            </w:pPr>
            <w:r w:rsidRPr="006334A2">
              <w:rPr>
                <w:b/>
              </w:rPr>
              <w:t>Setting</w:t>
            </w:r>
          </w:p>
        </w:tc>
        <w:tc>
          <w:tcPr>
            <w:tcW w:w="6858" w:type="dxa"/>
            <w:gridSpan w:val="3"/>
          </w:tcPr>
          <w:p w14:paraId="70F620A6" w14:textId="77777777" w:rsidR="00AD706B" w:rsidRPr="006334A2" w:rsidRDefault="00DD4BCB" w:rsidP="00CD7069">
            <w:pPr>
              <w:pStyle w:val="NoSpacing"/>
            </w:pPr>
            <w:r w:rsidRPr="006334A2">
              <w:t>Ambulatory</w:t>
            </w:r>
          </w:p>
        </w:tc>
      </w:tr>
      <w:tr w:rsidR="00AD706B" w:rsidRPr="006334A2" w14:paraId="70F620AB" w14:textId="77777777" w:rsidTr="00A374B8">
        <w:tc>
          <w:tcPr>
            <w:tcW w:w="2718" w:type="dxa"/>
          </w:tcPr>
          <w:p w14:paraId="70F620A8" w14:textId="77777777" w:rsidR="00AD706B" w:rsidRPr="006334A2" w:rsidRDefault="00AD706B" w:rsidP="00A374B8">
            <w:pPr>
              <w:pStyle w:val="NoSpacing"/>
              <w:rPr>
                <w:b/>
              </w:rPr>
            </w:pPr>
            <w:r w:rsidRPr="006334A2">
              <w:rPr>
                <w:b/>
              </w:rPr>
              <w:t>Data Source</w:t>
            </w:r>
          </w:p>
        </w:tc>
        <w:tc>
          <w:tcPr>
            <w:tcW w:w="6858" w:type="dxa"/>
            <w:gridSpan w:val="3"/>
          </w:tcPr>
          <w:p w14:paraId="70F620A9" w14:textId="1F2225E2" w:rsidR="00DD4BCB" w:rsidRPr="006334A2" w:rsidRDefault="00DD4BCB" w:rsidP="00DD4BCB">
            <w:pPr>
              <w:pStyle w:val="NoSpacing"/>
            </w:pPr>
            <w:r w:rsidRPr="006334A2">
              <w:t xml:space="preserve">Administrative </w:t>
            </w:r>
            <w:r w:rsidR="00E50763">
              <w:t xml:space="preserve">and </w:t>
            </w:r>
            <w:r w:rsidRPr="006334A2">
              <w:t>clinical data</w:t>
            </w:r>
          </w:p>
          <w:p w14:paraId="70F620AA" w14:textId="77777777" w:rsidR="00AD706B" w:rsidRPr="006334A2" w:rsidRDefault="00DD4BCB" w:rsidP="00DD4BCB">
            <w:pPr>
              <w:pStyle w:val="NoSpacing"/>
            </w:pPr>
            <w:r w:rsidRPr="006334A2">
              <w:t>Pharmacy data</w:t>
            </w:r>
          </w:p>
        </w:tc>
      </w:tr>
      <w:tr w:rsidR="00AD706B" w:rsidRPr="006334A2" w14:paraId="70F620CA" w14:textId="77777777" w:rsidTr="00A374B8">
        <w:tc>
          <w:tcPr>
            <w:tcW w:w="2718" w:type="dxa"/>
          </w:tcPr>
          <w:p w14:paraId="70F620AC" w14:textId="77777777" w:rsidR="00AD706B" w:rsidRPr="006334A2" w:rsidRDefault="00416E44" w:rsidP="00F05C01">
            <w:pPr>
              <w:pStyle w:val="NoSpacing"/>
              <w:rPr>
                <w:b/>
              </w:rPr>
            </w:pPr>
            <w:r w:rsidRPr="006334A2">
              <w:rPr>
                <w:b/>
              </w:rPr>
              <w:t xml:space="preserve">Denominator </w:t>
            </w:r>
            <w:r w:rsidR="008D1A8E" w:rsidRPr="006334A2">
              <w:rPr>
                <w:b/>
              </w:rPr>
              <w:t xml:space="preserve">Sub-set </w:t>
            </w:r>
            <w:r w:rsidRPr="006334A2">
              <w:rPr>
                <w:b/>
              </w:rPr>
              <w:t>Definition (Optional)</w:t>
            </w:r>
            <w:r w:rsidR="00CA4C08" w:rsidRPr="006334A2">
              <w:rPr>
                <w:b/>
              </w:rPr>
              <w:t xml:space="preserve"> </w:t>
            </w:r>
          </w:p>
        </w:tc>
        <w:tc>
          <w:tcPr>
            <w:tcW w:w="6858" w:type="dxa"/>
            <w:gridSpan w:val="3"/>
          </w:tcPr>
          <w:p w14:paraId="49B3FB69" w14:textId="77777777" w:rsidR="00E50763" w:rsidRDefault="00E50763" w:rsidP="00E50763">
            <w:pPr>
              <w:pStyle w:val="NoSpacing"/>
            </w:pPr>
            <w:r>
              <w:t xml:space="preserve">Providers have the option to further narrow the denominator population for this measure across one or more of the following domains.  If providers wish to use this option, they must indicate their preference to HHSC through the measure selection process. </w:t>
            </w:r>
          </w:p>
          <w:p w14:paraId="70F620AE" w14:textId="77777777" w:rsidR="00416E44" w:rsidRPr="006334A2" w:rsidRDefault="00416E44" w:rsidP="00A374B8">
            <w:pPr>
              <w:pStyle w:val="NoSpacing"/>
            </w:pPr>
          </w:p>
          <w:p w14:paraId="70F620AF" w14:textId="77777777" w:rsidR="007F7C07" w:rsidRPr="006334A2" w:rsidRDefault="00416E44" w:rsidP="00A374B8">
            <w:pPr>
              <w:pStyle w:val="NoSpacing"/>
            </w:pPr>
            <w:r w:rsidRPr="006334A2">
              <w:rPr>
                <w:b/>
              </w:rPr>
              <w:t>Payer:</w:t>
            </w:r>
            <w:r w:rsidRPr="006334A2">
              <w:t xml:space="preserve"> Providers may </w:t>
            </w:r>
            <w:r w:rsidR="007F7C07" w:rsidRPr="006334A2">
              <w:t>define</w:t>
            </w:r>
            <w:r w:rsidRPr="006334A2">
              <w:t xml:space="preserve"> the denominator population </w:t>
            </w:r>
            <w:r w:rsidR="007F7C07" w:rsidRPr="006334A2">
              <w:t xml:space="preserve">such that it is limited </w:t>
            </w:r>
            <w:r w:rsidRPr="006334A2">
              <w:t xml:space="preserve">to one of the following options: </w:t>
            </w:r>
          </w:p>
          <w:p w14:paraId="70F620B0" w14:textId="77777777" w:rsidR="007F7C07" w:rsidRPr="006334A2" w:rsidRDefault="00416E44" w:rsidP="007F7C07">
            <w:pPr>
              <w:pStyle w:val="NoSpacing"/>
              <w:numPr>
                <w:ilvl w:val="0"/>
                <w:numId w:val="5"/>
              </w:numPr>
            </w:pPr>
            <w:r w:rsidRPr="006334A2">
              <w:t>Medicaid</w:t>
            </w:r>
          </w:p>
          <w:p w14:paraId="70F620B1" w14:textId="77777777" w:rsidR="007F7C07" w:rsidRPr="006334A2" w:rsidRDefault="007F7C07" w:rsidP="007F7C07">
            <w:pPr>
              <w:pStyle w:val="NoSpacing"/>
              <w:numPr>
                <w:ilvl w:val="0"/>
                <w:numId w:val="5"/>
              </w:numPr>
            </w:pPr>
            <w:r w:rsidRPr="006334A2">
              <w:t>Uninsured</w:t>
            </w:r>
            <w:r w:rsidR="00366D0B" w:rsidRPr="006334A2">
              <w:t>/Indigent</w:t>
            </w:r>
          </w:p>
          <w:p w14:paraId="70F620B2" w14:textId="77777777" w:rsidR="00366D0B" w:rsidRPr="006334A2" w:rsidRDefault="00366D0B" w:rsidP="007F7C07">
            <w:pPr>
              <w:pStyle w:val="NoSpacing"/>
              <w:numPr>
                <w:ilvl w:val="0"/>
                <w:numId w:val="5"/>
              </w:numPr>
            </w:pPr>
            <w:r w:rsidRPr="006334A2">
              <w:t>Both: Medicaid and Uninsured/Indigent</w:t>
            </w:r>
          </w:p>
          <w:p w14:paraId="70F620B3" w14:textId="77777777" w:rsidR="000E7EED" w:rsidRPr="006334A2" w:rsidRDefault="000E7EED" w:rsidP="00A374B8">
            <w:pPr>
              <w:pStyle w:val="NoSpacing"/>
            </w:pPr>
          </w:p>
          <w:p w14:paraId="70F620B4" w14:textId="77777777" w:rsidR="00CA4C08" w:rsidRPr="006334A2" w:rsidRDefault="007F7C07" w:rsidP="00CA4C08">
            <w:pPr>
              <w:pStyle w:val="NoSpacing"/>
            </w:pPr>
            <w:r w:rsidRPr="006334A2">
              <w:rPr>
                <w:b/>
              </w:rPr>
              <w:t>Gender:</w:t>
            </w:r>
            <w:r w:rsidRPr="006334A2">
              <w:t xml:space="preserve"> Providers may define the denominator population such that it is limited to one of the following options:</w:t>
            </w:r>
          </w:p>
          <w:p w14:paraId="70F620B5" w14:textId="77777777" w:rsidR="007F7C07" w:rsidRPr="006334A2" w:rsidRDefault="007F7C07" w:rsidP="007F7C07">
            <w:pPr>
              <w:pStyle w:val="NoSpacing"/>
              <w:numPr>
                <w:ilvl w:val="0"/>
                <w:numId w:val="6"/>
              </w:numPr>
            </w:pPr>
            <w:r w:rsidRPr="006334A2">
              <w:t>Male</w:t>
            </w:r>
          </w:p>
          <w:p w14:paraId="70F620B6" w14:textId="77777777" w:rsidR="007F7C07" w:rsidRPr="006334A2" w:rsidRDefault="007F7C07" w:rsidP="007F7C07">
            <w:pPr>
              <w:pStyle w:val="NoSpacing"/>
              <w:numPr>
                <w:ilvl w:val="0"/>
                <w:numId w:val="6"/>
              </w:numPr>
            </w:pPr>
            <w:r w:rsidRPr="006334A2">
              <w:t>Female</w:t>
            </w:r>
          </w:p>
          <w:p w14:paraId="70F620B7" w14:textId="77777777" w:rsidR="007F7C07" w:rsidRPr="006334A2" w:rsidRDefault="007F7C07" w:rsidP="00CA4C08">
            <w:pPr>
              <w:pStyle w:val="NoSpacing"/>
            </w:pPr>
          </w:p>
          <w:p w14:paraId="70F620B8" w14:textId="77777777" w:rsidR="007F7C07" w:rsidRPr="006334A2" w:rsidRDefault="007F7C07" w:rsidP="00CA4C08">
            <w:pPr>
              <w:pStyle w:val="NoSpacing"/>
            </w:pPr>
            <w:r w:rsidRPr="006334A2">
              <w:rPr>
                <w:b/>
              </w:rPr>
              <w:t>Ethnicity:</w:t>
            </w:r>
            <w:r w:rsidRPr="006334A2">
              <w:t xml:space="preserve"> Providers may define the denominator population such that it is limited to one of the following options:</w:t>
            </w:r>
          </w:p>
          <w:p w14:paraId="70F620B9" w14:textId="77777777" w:rsidR="007F7C07" w:rsidRPr="006334A2" w:rsidRDefault="007F7C07" w:rsidP="007F7C07">
            <w:pPr>
              <w:pStyle w:val="NoSpacing"/>
              <w:numPr>
                <w:ilvl w:val="0"/>
                <w:numId w:val="7"/>
              </w:numPr>
            </w:pPr>
            <w:r w:rsidRPr="006334A2">
              <w:t>White/Caucasian</w:t>
            </w:r>
          </w:p>
          <w:p w14:paraId="70F620BA" w14:textId="77777777" w:rsidR="007F7C07" w:rsidRPr="006334A2" w:rsidRDefault="007F7C07" w:rsidP="007F7C07">
            <w:pPr>
              <w:pStyle w:val="NoSpacing"/>
              <w:numPr>
                <w:ilvl w:val="0"/>
                <w:numId w:val="7"/>
              </w:numPr>
            </w:pPr>
            <w:r w:rsidRPr="006334A2">
              <w:t>Black/African American</w:t>
            </w:r>
          </w:p>
          <w:p w14:paraId="70F620BB" w14:textId="77777777" w:rsidR="007F7C07" w:rsidRPr="006334A2" w:rsidRDefault="007F7C07" w:rsidP="007F7C07">
            <w:pPr>
              <w:pStyle w:val="NoSpacing"/>
              <w:numPr>
                <w:ilvl w:val="0"/>
                <w:numId w:val="7"/>
              </w:numPr>
            </w:pPr>
            <w:r w:rsidRPr="006334A2">
              <w:t>Latino/Hispanic</w:t>
            </w:r>
          </w:p>
          <w:p w14:paraId="70F620BC" w14:textId="77777777" w:rsidR="007F7C07" w:rsidRPr="006334A2" w:rsidRDefault="007F7C07" w:rsidP="007F7C07">
            <w:pPr>
              <w:pStyle w:val="NoSpacing"/>
              <w:numPr>
                <w:ilvl w:val="0"/>
                <w:numId w:val="7"/>
              </w:numPr>
            </w:pPr>
            <w:r w:rsidRPr="006334A2">
              <w:t>Asian</w:t>
            </w:r>
          </w:p>
          <w:p w14:paraId="70F620BD" w14:textId="77777777" w:rsidR="007F7C07" w:rsidRPr="006334A2" w:rsidRDefault="007F7C07" w:rsidP="007F7C07">
            <w:pPr>
              <w:pStyle w:val="NoSpacing"/>
              <w:numPr>
                <w:ilvl w:val="0"/>
                <w:numId w:val="7"/>
              </w:numPr>
            </w:pPr>
            <w:r w:rsidRPr="006334A2">
              <w:t>American Indian/Alaskan Native</w:t>
            </w:r>
          </w:p>
          <w:p w14:paraId="70F620BE" w14:textId="77777777" w:rsidR="007F7C07" w:rsidRPr="006334A2" w:rsidRDefault="007F7C07" w:rsidP="007F7C07">
            <w:pPr>
              <w:pStyle w:val="NoSpacing"/>
              <w:numPr>
                <w:ilvl w:val="0"/>
                <w:numId w:val="7"/>
              </w:numPr>
            </w:pPr>
            <w:r w:rsidRPr="006334A2">
              <w:lastRenderedPageBreak/>
              <w:t>Native Hawaiian/Other Pacific Islander</w:t>
            </w:r>
          </w:p>
          <w:p w14:paraId="70F620BF" w14:textId="77777777" w:rsidR="007F7C07" w:rsidRPr="006334A2" w:rsidRDefault="007F7C07" w:rsidP="00CA4C08">
            <w:pPr>
              <w:pStyle w:val="NoSpacing"/>
            </w:pPr>
          </w:p>
          <w:p w14:paraId="70F620C0" w14:textId="77777777" w:rsidR="007F7C07" w:rsidRPr="006334A2" w:rsidRDefault="007F7C07" w:rsidP="00CA4C08">
            <w:pPr>
              <w:pStyle w:val="NoSpacing"/>
            </w:pPr>
            <w:r w:rsidRPr="006334A2">
              <w:rPr>
                <w:b/>
              </w:rPr>
              <w:t>Age:</w:t>
            </w:r>
            <w:r w:rsidRPr="006334A2">
              <w:t xml:space="preserve"> Providers may define the denominator population such that it is limited to an age range:</w:t>
            </w:r>
          </w:p>
          <w:p w14:paraId="70F620C1" w14:textId="77777777" w:rsidR="007F7C07" w:rsidRPr="006334A2" w:rsidRDefault="007F7C07" w:rsidP="007F7C07">
            <w:pPr>
              <w:pStyle w:val="NoSpacing"/>
              <w:ind w:left="720"/>
            </w:pPr>
            <w:r w:rsidRPr="006334A2">
              <w:t>Lower Bound: ____ (Provider defined)</w:t>
            </w:r>
          </w:p>
          <w:p w14:paraId="70F620C2" w14:textId="77777777" w:rsidR="007F7C07" w:rsidRPr="006334A2" w:rsidRDefault="007F7C07" w:rsidP="007F7C07">
            <w:pPr>
              <w:pStyle w:val="NoSpacing"/>
              <w:ind w:left="720"/>
            </w:pPr>
            <w:r w:rsidRPr="006334A2">
              <w:t>Upper Bound: ____ (Provider defined)</w:t>
            </w:r>
          </w:p>
          <w:p w14:paraId="70F620C3" w14:textId="77777777" w:rsidR="00CA4C08" w:rsidRPr="006334A2" w:rsidRDefault="00CA4C08" w:rsidP="00CA4C08">
            <w:pPr>
              <w:pStyle w:val="NoSpacing"/>
            </w:pPr>
          </w:p>
          <w:p w14:paraId="70F620C4" w14:textId="5A7C482B" w:rsidR="007F7C07" w:rsidRPr="006334A2" w:rsidRDefault="007F7C07" w:rsidP="007F7C07">
            <w:pPr>
              <w:pStyle w:val="NoSpacing"/>
            </w:pPr>
            <w:r w:rsidRPr="006334A2">
              <w:rPr>
                <w:b/>
              </w:rPr>
              <w:t>Comorbid Condition:</w:t>
            </w:r>
            <w:r w:rsidRPr="006334A2">
              <w:t xml:space="preserve"> </w:t>
            </w:r>
            <w:r w:rsidR="00E50763">
              <w:t>Providers may define the denominator population such that it is limited to individuals with one or more comorbid conditions:</w:t>
            </w:r>
          </w:p>
          <w:p w14:paraId="70F620C5" w14:textId="77777777" w:rsidR="007F7C07" w:rsidRPr="006334A2" w:rsidRDefault="007F7C07" w:rsidP="00A82574">
            <w:pPr>
              <w:pStyle w:val="NoSpacing"/>
              <w:ind w:left="720"/>
            </w:pPr>
            <w:r w:rsidRPr="006334A2">
              <w:t>Comorbid condition: ______________ (Provider defined)</w:t>
            </w:r>
          </w:p>
          <w:p w14:paraId="70F620C6" w14:textId="77777777" w:rsidR="007F7C07" w:rsidRPr="006334A2" w:rsidRDefault="007F7C07" w:rsidP="00CA4C08">
            <w:pPr>
              <w:pStyle w:val="NoSpacing"/>
            </w:pPr>
          </w:p>
          <w:p w14:paraId="70F620C7" w14:textId="77777777" w:rsidR="007F7C07" w:rsidRPr="006334A2" w:rsidRDefault="007F7C07" w:rsidP="00CA4C08">
            <w:pPr>
              <w:pStyle w:val="NoSpacing"/>
            </w:pPr>
            <w:r w:rsidRPr="006334A2">
              <w:rPr>
                <w:b/>
              </w:rPr>
              <w:t>Setting/Location:</w:t>
            </w:r>
            <w:r w:rsidRPr="006334A2">
              <w:t xml:space="preserve"> Providers may define the denominator population such that it is limited to individuals receiving services in a specific setting or service delivery location(s).</w:t>
            </w:r>
          </w:p>
          <w:p w14:paraId="70F620C8" w14:textId="77777777" w:rsidR="007F7C07" w:rsidRPr="006334A2" w:rsidRDefault="007F7C07" w:rsidP="00A82574">
            <w:pPr>
              <w:pStyle w:val="NoSpacing"/>
              <w:ind w:left="720"/>
            </w:pPr>
            <w:r w:rsidRPr="006334A2">
              <w:t xml:space="preserve">Service Setting/Delivery Location(s): ______________ (Provider defined) </w:t>
            </w:r>
          </w:p>
          <w:p w14:paraId="70F620C9" w14:textId="77777777" w:rsidR="00F927B0" w:rsidRPr="006334A2" w:rsidRDefault="00CA4C08" w:rsidP="007F7C07">
            <w:pPr>
              <w:pStyle w:val="NoSpacing"/>
            </w:pPr>
            <w:r w:rsidRPr="006334A2">
              <w:t> </w:t>
            </w:r>
          </w:p>
        </w:tc>
      </w:tr>
      <w:tr w:rsidR="00AD706B" w:rsidRPr="006334A2" w14:paraId="70F620D2" w14:textId="77777777" w:rsidTr="00A374B8">
        <w:tc>
          <w:tcPr>
            <w:tcW w:w="2718" w:type="dxa"/>
          </w:tcPr>
          <w:p w14:paraId="70F620CB" w14:textId="77777777" w:rsidR="00AD706B" w:rsidRPr="006334A2" w:rsidRDefault="00AD706B" w:rsidP="00A374B8">
            <w:pPr>
              <w:pStyle w:val="NoSpacing"/>
              <w:rPr>
                <w:b/>
              </w:rPr>
            </w:pPr>
            <w:r w:rsidRPr="006334A2">
              <w:rPr>
                <w:b/>
              </w:rPr>
              <w:lastRenderedPageBreak/>
              <w:t>Demonstration Years</w:t>
            </w:r>
          </w:p>
        </w:tc>
        <w:tc>
          <w:tcPr>
            <w:tcW w:w="2286" w:type="dxa"/>
            <w:shd w:val="clear" w:color="auto" w:fill="D9D9D9" w:themeFill="background1" w:themeFillShade="D9"/>
          </w:tcPr>
          <w:p w14:paraId="70F620CC" w14:textId="77777777" w:rsidR="00AD706B" w:rsidRPr="006334A2" w:rsidRDefault="00AD706B" w:rsidP="00A374B8">
            <w:pPr>
              <w:pStyle w:val="NoSpacing"/>
              <w:jc w:val="center"/>
              <w:rPr>
                <w:b/>
              </w:rPr>
            </w:pPr>
            <w:r w:rsidRPr="006334A2">
              <w:rPr>
                <w:b/>
              </w:rPr>
              <w:t>DY3</w:t>
            </w:r>
          </w:p>
          <w:p w14:paraId="70F620CD" w14:textId="77777777" w:rsidR="00AD706B" w:rsidRPr="006334A2" w:rsidRDefault="00AD706B" w:rsidP="00A374B8">
            <w:pPr>
              <w:pStyle w:val="NoSpacing"/>
              <w:jc w:val="center"/>
              <w:rPr>
                <w:b/>
              </w:rPr>
            </w:pPr>
            <w:r w:rsidRPr="006334A2">
              <w:rPr>
                <w:b/>
              </w:rPr>
              <w:t>10/01/13 – 09/30/14</w:t>
            </w:r>
          </w:p>
        </w:tc>
        <w:tc>
          <w:tcPr>
            <w:tcW w:w="2286" w:type="dxa"/>
            <w:shd w:val="clear" w:color="auto" w:fill="D9D9D9" w:themeFill="background1" w:themeFillShade="D9"/>
          </w:tcPr>
          <w:p w14:paraId="70F620CE" w14:textId="77777777" w:rsidR="00AD706B" w:rsidRPr="006334A2" w:rsidRDefault="00AD706B" w:rsidP="00A374B8">
            <w:pPr>
              <w:pStyle w:val="NoSpacing"/>
              <w:jc w:val="center"/>
              <w:rPr>
                <w:b/>
              </w:rPr>
            </w:pPr>
            <w:r w:rsidRPr="006334A2">
              <w:rPr>
                <w:b/>
              </w:rPr>
              <w:t>DY4</w:t>
            </w:r>
          </w:p>
          <w:p w14:paraId="70F620CF" w14:textId="77777777" w:rsidR="00AD706B" w:rsidRPr="006334A2" w:rsidRDefault="00AD706B" w:rsidP="00A374B8">
            <w:pPr>
              <w:pStyle w:val="NoSpacing"/>
              <w:jc w:val="center"/>
              <w:rPr>
                <w:b/>
              </w:rPr>
            </w:pPr>
            <w:r w:rsidRPr="006334A2">
              <w:rPr>
                <w:b/>
              </w:rPr>
              <w:t>10/01/14 – 09/30/15</w:t>
            </w:r>
          </w:p>
        </w:tc>
        <w:tc>
          <w:tcPr>
            <w:tcW w:w="2286" w:type="dxa"/>
            <w:shd w:val="clear" w:color="auto" w:fill="D9D9D9" w:themeFill="background1" w:themeFillShade="D9"/>
          </w:tcPr>
          <w:p w14:paraId="70F620D0" w14:textId="77777777" w:rsidR="00AD706B" w:rsidRPr="006334A2" w:rsidRDefault="00AD706B" w:rsidP="00A374B8">
            <w:pPr>
              <w:pStyle w:val="NoSpacing"/>
              <w:jc w:val="center"/>
              <w:rPr>
                <w:b/>
              </w:rPr>
            </w:pPr>
            <w:r w:rsidRPr="006334A2">
              <w:rPr>
                <w:b/>
              </w:rPr>
              <w:t>DY5</w:t>
            </w:r>
          </w:p>
          <w:p w14:paraId="70F620D1" w14:textId="77777777" w:rsidR="00AD706B" w:rsidRPr="006334A2" w:rsidRDefault="00AD706B" w:rsidP="00A374B8">
            <w:pPr>
              <w:pStyle w:val="NoSpacing"/>
              <w:jc w:val="center"/>
              <w:rPr>
                <w:b/>
              </w:rPr>
            </w:pPr>
            <w:r w:rsidRPr="006334A2">
              <w:rPr>
                <w:b/>
              </w:rPr>
              <w:t>10/01/15 – 09/30/16</w:t>
            </w:r>
          </w:p>
        </w:tc>
      </w:tr>
      <w:tr w:rsidR="00AD706B" w:rsidRPr="006334A2" w14:paraId="70F620E4" w14:textId="77777777" w:rsidTr="00A374B8">
        <w:tc>
          <w:tcPr>
            <w:tcW w:w="2718" w:type="dxa"/>
          </w:tcPr>
          <w:p w14:paraId="70F620D3" w14:textId="77777777" w:rsidR="00AD706B" w:rsidRPr="006334A2" w:rsidRDefault="00AD706B" w:rsidP="00A374B8">
            <w:pPr>
              <w:pStyle w:val="NoSpacing"/>
              <w:rPr>
                <w:b/>
              </w:rPr>
            </w:pPr>
            <w:r w:rsidRPr="006334A2">
              <w:rPr>
                <w:b/>
              </w:rPr>
              <w:t>Measurement Periods</w:t>
            </w:r>
          </w:p>
          <w:p w14:paraId="70F620D4" w14:textId="77777777" w:rsidR="007C728B" w:rsidRPr="006334A2" w:rsidRDefault="007C728B" w:rsidP="00A374B8">
            <w:pPr>
              <w:pStyle w:val="NoSpacing"/>
              <w:rPr>
                <w:b/>
              </w:rPr>
            </w:pPr>
          </w:p>
          <w:p w14:paraId="70F620D5" w14:textId="77777777" w:rsidR="007C728B" w:rsidRPr="006334A2" w:rsidRDefault="007C728B" w:rsidP="007C728B">
            <w:pPr>
              <w:pStyle w:val="NoSpacing"/>
              <w:rPr>
                <w:i/>
              </w:rPr>
            </w:pPr>
            <w:r w:rsidRPr="006334A2">
              <w:rPr>
                <w:i/>
              </w:rPr>
              <w:t>(</w:t>
            </w:r>
            <w:r w:rsidR="0011709A" w:rsidRPr="006334A2">
              <w:rPr>
                <w:i/>
              </w:rPr>
              <w:t xml:space="preserve">Note: </w:t>
            </w:r>
            <w:r w:rsidRPr="006334A2">
              <w:rPr>
                <w:i/>
              </w:rPr>
              <w:t>For P4P measures, DY3 Measurement Period is equivalent to the Baseline Period for purposes of measuring improvement.)</w:t>
            </w:r>
          </w:p>
        </w:tc>
        <w:tc>
          <w:tcPr>
            <w:tcW w:w="2286" w:type="dxa"/>
          </w:tcPr>
          <w:p w14:paraId="71E7BDC2" w14:textId="77777777" w:rsidR="00E50763" w:rsidRDefault="00E50763" w:rsidP="00E50763">
            <w:pPr>
              <w:pStyle w:val="NoSpacing"/>
              <w:rPr>
                <w:rFonts w:ascii="Calibri" w:hAnsi="Calibri"/>
                <w:b/>
                <w:bCs/>
              </w:rPr>
            </w:pPr>
            <w:r>
              <w:rPr>
                <w:b/>
                <w:bCs/>
              </w:rPr>
              <w:t xml:space="preserve">Providers must report data for </w:t>
            </w:r>
            <w:r>
              <w:rPr>
                <w:b/>
                <w:bCs/>
                <w:u w:val="single"/>
              </w:rPr>
              <w:t>one</w:t>
            </w:r>
            <w:r>
              <w:rPr>
                <w:b/>
                <w:bCs/>
              </w:rPr>
              <w:t xml:space="preserve"> of the following DY, SFY, or CY time periods:</w:t>
            </w:r>
          </w:p>
          <w:p w14:paraId="6267A7F9" w14:textId="77777777" w:rsidR="00E50763" w:rsidRDefault="00E50763" w:rsidP="00E50763">
            <w:pPr>
              <w:pStyle w:val="NoSpacing"/>
            </w:pPr>
            <w:r>
              <w:rPr>
                <w:u w:val="single"/>
              </w:rPr>
              <w:t>12 Month Period</w:t>
            </w:r>
            <w:r>
              <w:t xml:space="preserve">: </w:t>
            </w:r>
          </w:p>
          <w:p w14:paraId="3DA3D5E5" w14:textId="77777777" w:rsidR="00E50763" w:rsidRDefault="00E50763" w:rsidP="00E50763">
            <w:pPr>
              <w:pStyle w:val="NoSpacing"/>
              <w:numPr>
                <w:ilvl w:val="0"/>
                <w:numId w:val="10"/>
              </w:numPr>
              <w:ind w:left="504"/>
            </w:pPr>
            <w:r>
              <w:t xml:space="preserve">10/01/13 – 09/30/14, or </w:t>
            </w:r>
          </w:p>
          <w:p w14:paraId="5151953F" w14:textId="77777777" w:rsidR="00E50763" w:rsidRDefault="00E50763" w:rsidP="00E50763">
            <w:pPr>
              <w:pStyle w:val="NoSpacing"/>
              <w:numPr>
                <w:ilvl w:val="0"/>
                <w:numId w:val="10"/>
              </w:numPr>
              <w:ind w:left="504"/>
            </w:pPr>
            <w:r>
              <w:t>09/01/13 – 08/31/14, or</w:t>
            </w:r>
          </w:p>
          <w:p w14:paraId="41D770AC" w14:textId="77777777" w:rsidR="00E50763" w:rsidRDefault="00E50763" w:rsidP="00E50763">
            <w:pPr>
              <w:pStyle w:val="NoSpacing"/>
              <w:numPr>
                <w:ilvl w:val="0"/>
                <w:numId w:val="10"/>
              </w:numPr>
              <w:ind w:left="504"/>
            </w:pPr>
            <w:r>
              <w:t>01/01/13 – 12/31/13, or</w:t>
            </w:r>
          </w:p>
          <w:p w14:paraId="010A47B6" w14:textId="77777777" w:rsidR="00E50763" w:rsidRDefault="00E50763" w:rsidP="00E50763">
            <w:pPr>
              <w:pStyle w:val="NoSpacing"/>
              <w:numPr>
                <w:ilvl w:val="0"/>
                <w:numId w:val="10"/>
              </w:numPr>
              <w:ind w:left="504"/>
            </w:pPr>
            <w:r>
              <w:t>10/01/12 – 09/30/13, or</w:t>
            </w:r>
          </w:p>
          <w:p w14:paraId="026DC0B3" w14:textId="77777777" w:rsidR="00E50763" w:rsidRDefault="00E50763" w:rsidP="00E50763">
            <w:pPr>
              <w:pStyle w:val="NoSpacing"/>
              <w:numPr>
                <w:ilvl w:val="0"/>
                <w:numId w:val="10"/>
              </w:numPr>
              <w:ind w:left="504"/>
            </w:pPr>
            <w:r>
              <w:t>09/01/12 – 08/31/13</w:t>
            </w:r>
          </w:p>
          <w:p w14:paraId="4786539E" w14:textId="77777777" w:rsidR="00E50763" w:rsidRDefault="00E50763" w:rsidP="00E50763">
            <w:pPr>
              <w:pStyle w:val="NoSpacing"/>
            </w:pPr>
            <w:r>
              <w:rPr>
                <w:u w:val="single"/>
              </w:rPr>
              <w:t>6 Month Period</w:t>
            </w:r>
            <w:r>
              <w:t xml:space="preserve">: </w:t>
            </w:r>
          </w:p>
          <w:p w14:paraId="0742A968" w14:textId="77777777" w:rsidR="00E50763" w:rsidRDefault="00E50763" w:rsidP="00E50763">
            <w:pPr>
              <w:pStyle w:val="NoSpacing"/>
              <w:numPr>
                <w:ilvl w:val="0"/>
                <w:numId w:val="11"/>
              </w:numPr>
              <w:ind w:left="504"/>
            </w:pPr>
            <w:r>
              <w:t>04/01/14 – 09/30/14, or</w:t>
            </w:r>
          </w:p>
          <w:p w14:paraId="2369AD36" w14:textId="77777777" w:rsidR="00E50763" w:rsidRDefault="00E50763" w:rsidP="00E50763">
            <w:pPr>
              <w:pStyle w:val="NoSpacing"/>
              <w:numPr>
                <w:ilvl w:val="0"/>
                <w:numId w:val="11"/>
              </w:numPr>
              <w:ind w:left="504"/>
            </w:pPr>
            <w:r>
              <w:t>03/01/13 – 08/31/14, or</w:t>
            </w:r>
          </w:p>
          <w:p w14:paraId="2826AD76" w14:textId="77777777" w:rsidR="00E50763" w:rsidRDefault="00E50763" w:rsidP="00E50763">
            <w:pPr>
              <w:pStyle w:val="NoSpacing"/>
              <w:numPr>
                <w:ilvl w:val="0"/>
                <w:numId w:val="11"/>
              </w:numPr>
              <w:ind w:left="504"/>
            </w:pPr>
            <w:r>
              <w:t>01/01/13 – 06/30/13, or</w:t>
            </w:r>
          </w:p>
          <w:p w14:paraId="6ED94E39" w14:textId="77777777" w:rsidR="00E50763" w:rsidRDefault="00E50763" w:rsidP="00E50763">
            <w:pPr>
              <w:pStyle w:val="NoSpacing"/>
              <w:numPr>
                <w:ilvl w:val="0"/>
                <w:numId w:val="11"/>
              </w:numPr>
              <w:ind w:left="504"/>
            </w:pPr>
            <w:r>
              <w:t>07/01/13 – 12/31/13</w:t>
            </w:r>
          </w:p>
          <w:p w14:paraId="70F620DD" w14:textId="219AD00D" w:rsidR="00F05C01" w:rsidRPr="006334A2" w:rsidRDefault="00E50763" w:rsidP="00E50763">
            <w:pPr>
              <w:pStyle w:val="NoSpacing"/>
            </w:pPr>
            <w:r>
              <w:rPr>
                <w:u w:val="single"/>
              </w:rPr>
              <w:lastRenderedPageBreak/>
              <w:t>Other</w:t>
            </w:r>
            <w:r>
              <w:t>: Providers specify/propose an alternative 6 or 12 month time period to be reviewed and approved by HHSC.</w:t>
            </w:r>
          </w:p>
        </w:tc>
        <w:tc>
          <w:tcPr>
            <w:tcW w:w="2286" w:type="dxa"/>
          </w:tcPr>
          <w:p w14:paraId="70F620DE" w14:textId="77777777" w:rsidR="00743628" w:rsidRPr="006334A2" w:rsidRDefault="00886E0E" w:rsidP="00886E0E">
            <w:pPr>
              <w:pStyle w:val="NoSpacing"/>
              <w:rPr>
                <w:b/>
              </w:rPr>
            </w:pPr>
            <w:r w:rsidRPr="006334A2">
              <w:rPr>
                <w:b/>
              </w:rPr>
              <w:lastRenderedPageBreak/>
              <w:t>Providers</w:t>
            </w:r>
            <w:r w:rsidR="00743628" w:rsidRPr="006334A2">
              <w:rPr>
                <w:b/>
              </w:rPr>
              <w:t xml:space="preserve"> must report data across a 12-month time period that meets the following parameters:</w:t>
            </w:r>
          </w:p>
          <w:p w14:paraId="70F620DF" w14:textId="77777777" w:rsidR="00743628" w:rsidRPr="006334A2" w:rsidRDefault="00743628" w:rsidP="00886E0E">
            <w:pPr>
              <w:pStyle w:val="NoSpacing"/>
            </w:pPr>
            <w:r w:rsidRPr="006334A2">
              <w:t xml:space="preserve">1. </w:t>
            </w:r>
            <w:r w:rsidRPr="006334A2">
              <w:rPr>
                <w:u w:val="single"/>
              </w:rPr>
              <w:t>Start date:</w:t>
            </w:r>
            <w:r w:rsidRPr="006334A2">
              <w:t xml:space="preserve"> The start date for the reporting period must occur after the provider’s DY3 Measurement Period.</w:t>
            </w:r>
          </w:p>
          <w:p w14:paraId="70F620E0" w14:textId="77777777" w:rsidR="00AD706B" w:rsidRPr="006334A2" w:rsidRDefault="00743628" w:rsidP="00743628">
            <w:pPr>
              <w:pStyle w:val="NoSpacing"/>
            </w:pPr>
            <w:r w:rsidRPr="006334A2">
              <w:t xml:space="preserve">2. </w:t>
            </w:r>
            <w:r w:rsidRPr="006334A2">
              <w:rPr>
                <w:u w:val="single"/>
              </w:rPr>
              <w:t>End date:</w:t>
            </w:r>
            <w:r w:rsidRPr="006334A2">
              <w:t xml:space="preserve"> The end date for the reporting period must occur on or before 09/30/15.</w:t>
            </w:r>
          </w:p>
        </w:tc>
        <w:tc>
          <w:tcPr>
            <w:tcW w:w="2286" w:type="dxa"/>
          </w:tcPr>
          <w:p w14:paraId="70F620E1" w14:textId="77777777" w:rsidR="00743628" w:rsidRPr="006334A2" w:rsidRDefault="00743628" w:rsidP="00743628">
            <w:pPr>
              <w:pStyle w:val="NoSpacing"/>
              <w:rPr>
                <w:b/>
              </w:rPr>
            </w:pPr>
            <w:r w:rsidRPr="006334A2">
              <w:rPr>
                <w:b/>
              </w:rPr>
              <w:t>Providers must report data across a 12-month time period that meets the following parameters:</w:t>
            </w:r>
          </w:p>
          <w:p w14:paraId="70F620E2" w14:textId="77777777" w:rsidR="00743628" w:rsidRPr="006334A2" w:rsidRDefault="00743628" w:rsidP="00743628">
            <w:pPr>
              <w:pStyle w:val="NoSpacing"/>
            </w:pPr>
            <w:r w:rsidRPr="006334A2">
              <w:t xml:space="preserve">1. </w:t>
            </w:r>
            <w:r w:rsidRPr="006334A2">
              <w:rPr>
                <w:u w:val="single"/>
              </w:rPr>
              <w:t>Start date:</w:t>
            </w:r>
            <w:r w:rsidRPr="006334A2">
              <w:t xml:space="preserve"> The start date for the reporting period must occur after the provider’s DY4 Measurement Period.</w:t>
            </w:r>
          </w:p>
          <w:p w14:paraId="70F620E3" w14:textId="77777777" w:rsidR="00AD706B" w:rsidRPr="006334A2" w:rsidRDefault="00743628" w:rsidP="00743628">
            <w:pPr>
              <w:pStyle w:val="NoSpacing"/>
            </w:pPr>
            <w:r w:rsidRPr="006334A2">
              <w:t xml:space="preserve">2. </w:t>
            </w:r>
            <w:r w:rsidRPr="006334A2">
              <w:rPr>
                <w:u w:val="single"/>
              </w:rPr>
              <w:t>End date:</w:t>
            </w:r>
            <w:r w:rsidRPr="006334A2">
              <w:t xml:space="preserve"> The end date for the reporting period must occur on or before 09/30/16.</w:t>
            </w:r>
          </w:p>
        </w:tc>
      </w:tr>
      <w:tr w:rsidR="00AD706B" w:rsidRPr="006334A2" w14:paraId="70F620EB" w14:textId="77777777" w:rsidTr="00A374B8">
        <w:tc>
          <w:tcPr>
            <w:tcW w:w="2718" w:type="dxa"/>
          </w:tcPr>
          <w:p w14:paraId="70F620E5" w14:textId="77777777" w:rsidR="00AD706B" w:rsidRPr="006334A2" w:rsidRDefault="00AD706B" w:rsidP="00A374B8">
            <w:pPr>
              <w:pStyle w:val="NoSpacing"/>
              <w:rPr>
                <w:b/>
              </w:rPr>
            </w:pPr>
            <w:r w:rsidRPr="006334A2">
              <w:rPr>
                <w:b/>
              </w:rPr>
              <w:lastRenderedPageBreak/>
              <w:t>Reporting Opportunities to HHSC</w:t>
            </w:r>
          </w:p>
        </w:tc>
        <w:tc>
          <w:tcPr>
            <w:tcW w:w="2286" w:type="dxa"/>
          </w:tcPr>
          <w:p w14:paraId="70F620E6" w14:textId="77777777" w:rsidR="00AD706B" w:rsidRPr="006334A2" w:rsidRDefault="00AD706B" w:rsidP="00A374B8">
            <w:pPr>
              <w:pStyle w:val="NoSpacing"/>
              <w:jc w:val="center"/>
            </w:pPr>
            <w:r w:rsidRPr="006334A2">
              <w:t>10/31/2014</w:t>
            </w:r>
          </w:p>
        </w:tc>
        <w:tc>
          <w:tcPr>
            <w:tcW w:w="2286" w:type="dxa"/>
          </w:tcPr>
          <w:p w14:paraId="70F620E7" w14:textId="77777777" w:rsidR="00AD706B" w:rsidRPr="006334A2" w:rsidRDefault="00AD706B" w:rsidP="00A374B8">
            <w:pPr>
              <w:pStyle w:val="NoSpacing"/>
              <w:jc w:val="center"/>
            </w:pPr>
            <w:r w:rsidRPr="006334A2">
              <w:t>4/30/2015</w:t>
            </w:r>
          </w:p>
          <w:p w14:paraId="70F620E8" w14:textId="77777777" w:rsidR="00AD706B" w:rsidRPr="006334A2" w:rsidRDefault="00AD706B" w:rsidP="00A374B8">
            <w:pPr>
              <w:pStyle w:val="NoSpacing"/>
              <w:jc w:val="center"/>
              <w:rPr>
                <w:b/>
              </w:rPr>
            </w:pPr>
            <w:r w:rsidRPr="006334A2">
              <w:t>10/31/2015</w:t>
            </w:r>
          </w:p>
        </w:tc>
        <w:tc>
          <w:tcPr>
            <w:tcW w:w="2286" w:type="dxa"/>
          </w:tcPr>
          <w:p w14:paraId="70F620E9" w14:textId="77777777" w:rsidR="00AD706B" w:rsidRPr="006334A2" w:rsidRDefault="00AD706B" w:rsidP="00A374B8">
            <w:pPr>
              <w:pStyle w:val="NoSpacing"/>
              <w:jc w:val="center"/>
            </w:pPr>
            <w:r w:rsidRPr="006334A2">
              <w:t>4/30/2016</w:t>
            </w:r>
          </w:p>
          <w:p w14:paraId="70F620EA" w14:textId="77777777" w:rsidR="00AD706B" w:rsidRPr="006334A2" w:rsidRDefault="00AD706B" w:rsidP="00A374B8">
            <w:pPr>
              <w:pStyle w:val="NoSpacing"/>
              <w:jc w:val="center"/>
              <w:rPr>
                <w:b/>
              </w:rPr>
            </w:pPr>
            <w:r w:rsidRPr="006334A2">
              <w:t>10/31/2016</w:t>
            </w:r>
          </w:p>
        </w:tc>
      </w:tr>
      <w:tr w:rsidR="000D1199" w:rsidRPr="006334A2" w14:paraId="70F620F3" w14:textId="77777777" w:rsidTr="00A374B8">
        <w:tc>
          <w:tcPr>
            <w:tcW w:w="2718" w:type="dxa"/>
          </w:tcPr>
          <w:p w14:paraId="70F620EC" w14:textId="77777777" w:rsidR="000D1199" w:rsidRPr="006334A2" w:rsidRDefault="000D1199" w:rsidP="000D1199">
            <w:pPr>
              <w:pStyle w:val="NoSpacing"/>
              <w:rPr>
                <w:b/>
              </w:rPr>
            </w:pPr>
            <w:r w:rsidRPr="006334A2">
              <w:rPr>
                <w:b/>
              </w:rPr>
              <w:t>Pay for Performance Target Methodology</w:t>
            </w:r>
          </w:p>
          <w:p w14:paraId="70F620ED" w14:textId="77777777" w:rsidR="000D1199" w:rsidRPr="006334A2" w:rsidRDefault="000D1199" w:rsidP="000D1199">
            <w:pPr>
              <w:pStyle w:val="NoSpacing"/>
              <w:rPr>
                <w:b/>
              </w:rPr>
            </w:pPr>
          </w:p>
          <w:p w14:paraId="70F620EE" w14:textId="77777777" w:rsidR="000D1199" w:rsidRPr="006334A2" w:rsidRDefault="000D1199" w:rsidP="000D1199">
            <w:pPr>
              <w:pStyle w:val="NoSpacing"/>
              <w:rPr>
                <w:i/>
              </w:rPr>
            </w:pPr>
            <w:r w:rsidRPr="006334A2">
              <w:rPr>
                <w:i/>
              </w:rPr>
              <w:t>(</w:t>
            </w:r>
            <w:r w:rsidR="0011709A" w:rsidRPr="006334A2">
              <w:rPr>
                <w:i/>
              </w:rPr>
              <w:t xml:space="preserve">Note: </w:t>
            </w:r>
            <w:r w:rsidRPr="006334A2">
              <w:rPr>
                <w:i/>
              </w:rPr>
              <w:t>See DSRIP Category 3 Companion Document for detailed P4P target methodology descriptions</w:t>
            </w:r>
            <w:r w:rsidR="00375652" w:rsidRPr="006334A2">
              <w:rPr>
                <w:i/>
              </w:rPr>
              <w:t xml:space="preserve"> pertaining to (1) QISMC methodology, and (2) Improvement Over Self methodology.)</w:t>
            </w:r>
          </w:p>
          <w:p w14:paraId="70F620EF" w14:textId="77777777" w:rsidR="000D1199" w:rsidRPr="006334A2" w:rsidRDefault="000D1199" w:rsidP="000D1199">
            <w:pPr>
              <w:pStyle w:val="NoSpacing"/>
            </w:pPr>
          </w:p>
        </w:tc>
        <w:tc>
          <w:tcPr>
            <w:tcW w:w="2286" w:type="dxa"/>
          </w:tcPr>
          <w:p w14:paraId="70F620F0" w14:textId="77777777" w:rsidR="000D1199" w:rsidRPr="006334A2" w:rsidRDefault="000D1199" w:rsidP="000D1199">
            <w:pPr>
              <w:pStyle w:val="NoSpacing"/>
            </w:pPr>
            <w:r w:rsidRPr="006334A2">
              <w:t>Not Applicable</w:t>
            </w:r>
          </w:p>
        </w:tc>
        <w:tc>
          <w:tcPr>
            <w:tcW w:w="2286" w:type="dxa"/>
          </w:tcPr>
          <w:p w14:paraId="70F620F1" w14:textId="77777777" w:rsidR="000D1199" w:rsidRPr="006334A2" w:rsidRDefault="000D1199" w:rsidP="005713DC">
            <w:pPr>
              <w:pStyle w:val="NoSpacing"/>
            </w:pPr>
            <w:r w:rsidRPr="006334A2">
              <w:t>QISMC</w:t>
            </w:r>
          </w:p>
        </w:tc>
        <w:tc>
          <w:tcPr>
            <w:tcW w:w="2286" w:type="dxa"/>
          </w:tcPr>
          <w:p w14:paraId="70F620F2" w14:textId="77777777" w:rsidR="000D1199" w:rsidRPr="006334A2" w:rsidRDefault="005713DC" w:rsidP="000D1199">
            <w:pPr>
              <w:pStyle w:val="NoSpacing"/>
            </w:pPr>
            <w:r w:rsidRPr="006334A2">
              <w:t>QISMC</w:t>
            </w:r>
          </w:p>
        </w:tc>
      </w:tr>
      <w:tr w:rsidR="005802A0" w:rsidRPr="006334A2" w14:paraId="70F620F9" w14:textId="77777777" w:rsidTr="00E62524">
        <w:trPr>
          <w:trHeight w:val="1070"/>
        </w:trPr>
        <w:tc>
          <w:tcPr>
            <w:tcW w:w="2718" w:type="dxa"/>
          </w:tcPr>
          <w:p w14:paraId="70F620F4" w14:textId="77777777" w:rsidR="005802A0" w:rsidRPr="006334A2" w:rsidRDefault="005802A0" w:rsidP="00A374B8">
            <w:pPr>
              <w:pStyle w:val="NoSpacing"/>
              <w:rPr>
                <w:b/>
              </w:rPr>
            </w:pPr>
            <w:r w:rsidRPr="006334A2">
              <w:rPr>
                <w:b/>
              </w:rPr>
              <w:t xml:space="preserve">Pay for Performance QISMC Benchmark </w:t>
            </w:r>
            <w:r w:rsidR="0088642E" w:rsidRPr="006334A2">
              <w:rPr>
                <w:b/>
              </w:rPr>
              <w:t>Definition</w:t>
            </w:r>
            <w:r w:rsidRPr="006334A2">
              <w:rPr>
                <w:b/>
              </w:rPr>
              <w:t xml:space="preserve"> </w:t>
            </w:r>
          </w:p>
          <w:p w14:paraId="70F620F5" w14:textId="77777777" w:rsidR="005802A0" w:rsidRPr="006334A2" w:rsidRDefault="005802A0" w:rsidP="00A374B8">
            <w:pPr>
              <w:pStyle w:val="NoSpacing"/>
            </w:pPr>
          </w:p>
        </w:tc>
        <w:tc>
          <w:tcPr>
            <w:tcW w:w="2286" w:type="dxa"/>
          </w:tcPr>
          <w:p w14:paraId="70F620F6" w14:textId="77777777" w:rsidR="005802A0" w:rsidRPr="006334A2" w:rsidRDefault="005802A0" w:rsidP="000D1199">
            <w:pPr>
              <w:pStyle w:val="NoSpacing"/>
            </w:pPr>
            <w:r w:rsidRPr="006334A2">
              <w:t>Not Applicable</w:t>
            </w:r>
          </w:p>
        </w:tc>
        <w:tc>
          <w:tcPr>
            <w:tcW w:w="2286" w:type="dxa"/>
          </w:tcPr>
          <w:p w14:paraId="70F620F7" w14:textId="4689A466" w:rsidR="005802A0" w:rsidRPr="006334A2" w:rsidRDefault="00E50763" w:rsidP="0088642E">
            <w:pPr>
              <w:pStyle w:val="NoSpacing"/>
            </w:pPr>
            <w:r>
              <w:t>TBD</w:t>
            </w:r>
          </w:p>
        </w:tc>
        <w:tc>
          <w:tcPr>
            <w:tcW w:w="2286" w:type="dxa"/>
          </w:tcPr>
          <w:p w14:paraId="70F620F8" w14:textId="3860C479" w:rsidR="005802A0" w:rsidRPr="006334A2" w:rsidRDefault="00E50763" w:rsidP="004D0FC3">
            <w:pPr>
              <w:pStyle w:val="NoSpacing"/>
            </w:pPr>
            <w:r>
              <w:t>TBD</w:t>
            </w:r>
          </w:p>
        </w:tc>
      </w:tr>
      <w:tr w:rsidR="0088642E" w:rsidRPr="006334A2" w14:paraId="70F620FF" w14:textId="77777777" w:rsidTr="00A374B8">
        <w:tc>
          <w:tcPr>
            <w:tcW w:w="2718" w:type="dxa"/>
          </w:tcPr>
          <w:p w14:paraId="70F620FA" w14:textId="77777777" w:rsidR="0088642E" w:rsidRPr="006334A2" w:rsidRDefault="0088642E" w:rsidP="0088642E">
            <w:pPr>
              <w:pStyle w:val="NoSpacing"/>
              <w:rPr>
                <w:b/>
              </w:rPr>
            </w:pPr>
            <w:r w:rsidRPr="006334A2">
              <w:rPr>
                <w:b/>
              </w:rPr>
              <w:t xml:space="preserve">Pay for Performance QISMC Benchmark </w:t>
            </w:r>
            <w:r w:rsidR="0011709A" w:rsidRPr="006334A2">
              <w:rPr>
                <w:b/>
              </w:rPr>
              <w:t>Source</w:t>
            </w:r>
          </w:p>
          <w:p w14:paraId="70F620FB" w14:textId="77777777" w:rsidR="0088642E" w:rsidRPr="006334A2" w:rsidRDefault="0088642E" w:rsidP="00A374B8">
            <w:pPr>
              <w:pStyle w:val="NoSpacing"/>
              <w:rPr>
                <w:b/>
              </w:rPr>
            </w:pPr>
          </w:p>
        </w:tc>
        <w:tc>
          <w:tcPr>
            <w:tcW w:w="2286" w:type="dxa"/>
          </w:tcPr>
          <w:p w14:paraId="70F620FC" w14:textId="77777777" w:rsidR="0088642E" w:rsidRPr="006334A2" w:rsidRDefault="0088642E" w:rsidP="000D1199">
            <w:pPr>
              <w:pStyle w:val="NoSpacing"/>
            </w:pPr>
            <w:r w:rsidRPr="006334A2">
              <w:t>Not Applicable</w:t>
            </w:r>
          </w:p>
        </w:tc>
        <w:tc>
          <w:tcPr>
            <w:tcW w:w="2286" w:type="dxa"/>
          </w:tcPr>
          <w:p w14:paraId="70F620FD" w14:textId="584A62BC" w:rsidR="0088642E" w:rsidRPr="006334A2" w:rsidRDefault="00F05990" w:rsidP="00E62524">
            <w:pPr>
              <w:pStyle w:val="NoSpacing"/>
            </w:pPr>
            <w:r>
              <w:t>TBD</w:t>
            </w:r>
          </w:p>
        </w:tc>
        <w:tc>
          <w:tcPr>
            <w:tcW w:w="2286" w:type="dxa"/>
          </w:tcPr>
          <w:p w14:paraId="70F620FE" w14:textId="38BABDE2" w:rsidR="0088642E" w:rsidRPr="006334A2" w:rsidRDefault="00F05990" w:rsidP="004D0FC3">
            <w:pPr>
              <w:pStyle w:val="NoSpacing"/>
            </w:pPr>
            <w:r>
              <w:t xml:space="preserve"> TBD</w:t>
            </w:r>
          </w:p>
        </w:tc>
      </w:tr>
      <w:tr w:rsidR="001823B8" w:rsidRPr="006334A2" w14:paraId="70F62104" w14:textId="77777777" w:rsidTr="00A374B8">
        <w:tc>
          <w:tcPr>
            <w:tcW w:w="2718" w:type="dxa"/>
          </w:tcPr>
          <w:p w14:paraId="70F62100" w14:textId="77777777" w:rsidR="001823B8" w:rsidRPr="006334A2" w:rsidRDefault="001823B8" w:rsidP="00A374B8">
            <w:pPr>
              <w:pStyle w:val="NoSpacing"/>
              <w:rPr>
                <w:b/>
              </w:rPr>
            </w:pPr>
            <w:r w:rsidRPr="006334A2">
              <w:rPr>
                <w:b/>
              </w:rPr>
              <w:t>Pay for Performance QISMC High Performance Level Definition</w:t>
            </w:r>
          </w:p>
        </w:tc>
        <w:tc>
          <w:tcPr>
            <w:tcW w:w="2286" w:type="dxa"/>
          </w:tcPr>
          <w:p w14:paraId="70F62101" w14:textId="77777777" w:rsidR="001823B8" w:rsidRPr="006334A2" w:rsidRDefault="001823B8" w:rsidP="000D1199">
            <w:pPr>
              <w:pStyle w:val="NoSpacing"/>
            </w:pPr>
            <w:r w:rsidRPr="006334A2">
              <w:t>Not Applicable</w:t>
            </w:r>
          </w:p>
        </w:tc>
        <w:tc>
          <w:tcPr>
            <w:tcW w:w="2286" w:type="dxa"/>
          </w:tcPr>
          <w:p w14:paraId="70F62102" w14:textId="5146185A" w:rsidR="001823B8" w:rsidRPr="006334A2" w:rsidRDefault="001823B8" w:rsidP="001823B8">
            <w:pPr>
              <w:pStyle w:val="NoSpacing"/>
            </w:pPr>
            <w:r>
              <w:t>TBD</w:t>
            </w:r>
          </w:p>
        </w:tc>
        <w:tc>
          <w:tcPr>
            <w:tcW w:w="2286" w:type="dxa"/>
          </w:tcPr>
          <w:p w14:paraId="70F62103" w14:textId="4129FD39" w:rsidR="001823B8" w:rsidRPr="006334A2" w:rsidRDefault="001823B8" w:rsidP="004D0FC3">
            <w:pPr>
              <w:pStyle w:val="NoSpacing"/>
            </w:pPr>
            <w:r w:rsidRPr="00E4726E">
              <w:t>TBD</w:t>
            </w:r>
          </w:p>
        </w:tc>
      </w:tr>
      <w:tr w:rsidR="001823B8" w:rsidRPr="006334A2" w14:paraId="70F62109" w14:textId="77777777" w:rsidTr="00A374B8">
        <w:tc>
          <w:tcPr>
            <w:tcW w:w="2718" w:type="dxa"/>
          </w:tcPr>
          <w:p w14:paraId="70F62105" w14:textId="34C0959A" w:rsidR="001823B8" w:rsidRPr="006334A2" w:rsidRDefault="001823B8" w:rsidP="005802A0">
            <w:pPr>
              <w:pStyle w:val="NoSpacing"/>
              <w:rPr>
                <w:b/>
              </w:rPr>
            </w:pPr>
            <w:r w:rsidRPr="006334A2">
              <w:rPr>
                <w:b/>
              </w:rPr>
              <w:t>Pay for Performance QISMC High Performance Level Value</w:t>
            </w:r>
          </w:p>
        </w:tc>
        <w:tc>
          <w:tcPr>
            <w:tcW w:w="2286" w:type="dxa"/>
          </w:tcPr>
          <w:p w14:paraId="70F62106" w14:textId="77777777" w:rsidR="001823B8" w:rsidRPr="006334A2" w:rsidRDefault="001823B8" w:rsidP="000D1199">
            <w:pPr>
              <w:pStyle w:val="NoSpacing"/>
            </w:pPr>
            <w:r w:rsidRPr="006334A2">
              <w:t>Not Applicable</w:t>
            </w:r>
          </w:p>
        </w:tc>
        <w:tc>
          <w:tcPr>
            <w:tcW w:w="2286" w:type="dxa"/>
          </w:tcPr>
          <w:p w14:paraId="70F62107" w14:textId="6F2C1C93" w:rsidR="001823B8" w:rsidRPr="006334A2" w:rsidRDefault="001823B8" w:rsidP="005802A0">
            <w:pPr>
              <w:pStyle w:val="NoSpacing"/>
            </w:pPr>
            <w:r w:rsidRPr="000515C7">
              <w:t>TBD</w:t>
            </w:r>
          </w:p>
        </w:tc>
        <w:tc>
          <w:tcPr>
            <w:tcW w:w="2286" w:type="dxa"/>
          </w:tcPr>
          <w:p w14:paraId="70F62108" w14:textId="031E1963" w:rsidR="001823B8" w:rsidRPr="006334A2" w:rsidRDefault="001823B8" w:rsidP="004D0FC3">
            <w:pPr>
              <w:pStyle w:val="NoSpacing"/>
            </w:pPr>
            <w:r w:rsidRPr="00E4726E">
              <w:t>TBD</w:t>
            </w:r>
          </w:p>
        </w:tc>
      </w:tr>
      <w:tr w:rsidR="001823B8" w:rsidRPr="006334A2" w14:paraId="70F6210E" w14:textId="77777777" w:rsidTr="00A374B8">
        <w:tc>
          <w:tcPr>
            <w:tcW w:w="2718" w:type="dxa"/>
          </w:tcPr>
          <w:p w14:paraId="70F6210A" w14:textId="2A0E56A1" w:rsidR="001823B8" w:rsidRPr="006334A2" w:rsidRDefault="001823B8" w:rsidP="00823868">
            <w:pPr>
              <w:pStyle w:val="NoSpacing"/>
              <w:rPr>
                <w:b/>
              </w:rPr>
            </w:pPr>
            <w:r w:rsidRPr="006334A2">
              <w:rPr>
                <w:b/>
              </w:rPr>
              <w:t>Pay for Performance QISMC Minimum Performance Level Definition</w:t>
            </w:r>
          </w:p>
        </w:tc>
        <w:tc>
          <w:tcPr>
            <w:tcW w:w="2286" w:type="dxa"/>
          </w:tcPr>
          <w:p w14:paraId="70F6210B" w14:textId="77777777" w:rsidR="001823B8" w:rsidRPr="006334A2" w:rsidRDefault="001823B8" w:rsidP="000D1199">
            <w:pPr>
              <w:pStyle w:val="NoSpacing"/>
            </w:pPr>
            <w:r w:rsidRPr="006334A2">
              <w:t>Not Applicable</w:t>
            </w:r>
          </w:p>
        </w:tc>
        <w:tc>
          <w:tcPr>
            <w:tcW w:w="2286" w:type="dxa"/>
          </w:tcPr>
          <w:p w14:paraId="70F6210C" w14:textId="682FD350" w:rsidR="001823B8" w:rsidRPr="006334A2" w:rsidRDefault="001823B8" w:rsidP="005802A0">
            <w:pPr>
              <w:pStyle w:val="NoSpacing"/>
            </w:pPr>
            <w:r w:rsidRPr="000515C7">
              <w:t>TBD</w:t>
            </w:r>
          </w:p>
        </w:tc>
        <w:tc>
          <w:tcPr>
            <w:tcW w:w="2286" w:type="dxa"/>
          </w:tcPr>
          <w:p w14:paraId="70F6210D" w14:textId="0EE2B389" w:rsidR="001823B8" w:rsidRPr="006334A2" w:rsidRDefault="001823B8" w:rsidP="004D0FC3">
            <w:pPr>
              <w:pStyle w:val="NoSpacing"/>
            </w:pPr>
            <w:r w:rsidRPr="00E4726E">
              <w:t>TBD</w:t>
            </w:r>
          </w:p>
        </w:tc>
      </w:tr>
      <w:tr w:rsidR="001823B8" w:rsidRPr="006334A2" w14:paraId="70F62113" w14:textId="77777777" w:rsidTr="00A374B8">
        <w:tc>
          <w:tcPr>
            <w:tcW w:w="2718" w:type="dxa"/>
          </w:tcPr>
          <w:p w14:paraId="70F6210F" w14:textId="0593B711" w:rsidR="001823B8" w:rsidRPr="006334A2" w:rsidRDefault="001823B8" w:rsidP="004D0FC3">
            <w:pPr>
              <w:pStyle w:val="NoSpacing"/>
              <w:rPr>
                <w:b/>
              </w:rPr>
            </w:pPr>
            <w:r w:rsidRPr="006334A2">
              <w:rPr>
                <w:b/>
              </w:rPr>
              <w:t>Pay for Performance QISMC Minimum Performance Level Value</w:t>
            </w:r>
          </w:p>
        </w:tc>
        <w:tc>
          <w:tcPr>
            <w:tcW w:w="2286" w:type="dxa"/>
          </w:tcPr>
          <w:p w14:paraId="70F62110" w14:textId="77777777" w:rsidR="001823B8" w:rsidRPr="006334A2" w:rsidRDefault="001823B8" w:rsidP="00F95BB9">
            <w:pPr>
              <w:pStyle w:val="NoSpacing"/>
            </w:pPr>
            <w:r w:rsidRPr="006334A2">
              <w:t xml:space="preserve">Not Applicable </w:t>
            </w:r>
          </w:p>
        </w:tc>
        <w:tc>
          <w:tcPr>
            <w:tcW w:w="2286" w:type="dxa"/>
          </w:tcPr>
          <w:p w14:paraId="70F62111" w14:textId="2E831F1D" w:rsidR="001823B8" w:rsidRPr="006334A2" w:rsidRDefault="001823B8" w:rsidP="005802A0">
            <w:pPr>
              <w:pStyle w:val="NoSpacing"/>
            </w:pPr>
            <w:r w:rsidRPr="000515C7">
              <w:t>TBD</w:t>
            </w:r>
          </w:p>
        </w:tc>
        <w:tc>
          <w:tcPr>
            <w:tcW w:w="2286" w:type="dxa"/>
          </w:tcPr>
          <w:p w14:paraId="70F62112" w14:textId="3670199F" w:rsidR="001823B8" w:rsidRPr="006334A2" w:rsidRDefault="001823B8" w:rsidP="005802A0">
            <w:pPr>
              <w:pStyle w:val="NoSpacing"/>
            </w:pPr>
            <w:r w:rsidRPr="00E4726E">
              <w:t>TBD</w:t>
            </w:r>
          </w:p>
        </w:tc>
      </w:tr>
    </w:tbl>
    <w:p w14:paraId="70F62114" w14:textId="77777777" w:rsidR="00356CF4" w:rsidRPr="008F249E" w:rsidRDefault="00356CF4" w:rsidP="007C7C85">
      <w:pPr>
        <w:pStyle w:val="Heading2"/>
      </w:pPr>
    </w:p>
    <w:sectPr w:rsidR="00356CF4" w:rsidRPr="008F24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6211F" w14:textId="77777777" w:rsidR="007164C7" w:rsidRDefault="007164C7" w:rsidP="00F63191">
      <w:pPr>
        <w:spacing w:after="0" w:line="240" w:lineRule="auto"/>
      </w:pPr>
      <w:r>
        <w:separator/>
      </w:r>
    </w:p>
  </w:endnote>
  <w:endnote w:type="continuationSeparator" w:id="0">
    <w:p w14:paraId="70F62120" w14:textId="77777777" w:rsidR="007164C7" w:rsidRDefault="007164C7"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70F62122" w14:textId="77777777" w:rsidR="002E14AF" w:rsidRDefault="002E14AF">
        <w:pPr>
          <w:pStyle w:val="Footer"/>
          <w:jc w:val="right"/>
        </w:pPr>
        <w:r>
          <w:fldChar w:fldCharType="begin"/>
        </w:r>
        <w:r>
          <w:instrText xml:space="preserve"> PAGE   \* MERGEFORMAT </w:instrText>
        </w:r>
        <w:r>
          <w:fldChar w:fldCharType="separate"/>
        </w:r>
        <w:r w:rsidR="001E2C72">
          <w:rPr>
            <w:noProof/>
          </w:rPr>
          <w:t>3</w:t>
        </w:r>
        <w:r>
          <w:rPr>
            <w:noProof/>
          </w:rPr>
          <w:fldChar w:fldCharType="end"/>
        </w:r>
      </w:p>
    </w:sdtContent>
  </w:sdt>
  <w:p w14:paraId="70F62123"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6211D" w14:textId="77777777" w:rsidR="007164C7" w:rsidRDefault="007164C7" w:rsidP="00F63191">
      <w:pPr>
        <w:spacing w:after="0" w:line="240" w:lineRule="auto"/>
      </w:pPr>
      <w:r>
        <w:separator/>
      </w:r>
    </w:p>
  </w:footnote>
  <w:footnote w:type="continuationSeparator" w:id="0">
    <w:p w14:paraId="70F6211E" w14:textId="77777777" w:rsidR="007164C7" w:rsidRDefault="007164C7"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62121" w14:textId="1EF4C010"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C575F"/>
    <w:rsid w:val="000D1199"/>
    <w:rsid w:val="000D5A2D"/>
    <w:rsid w:val="000E7EED"/>
    <w:rsid w:val="00100A2F"/>
    <w:rsid w:val="00107C1A"/>
    <w:rsid w:val="0011709A"/>
    <w:rsid w:val="00165D76"/>
    <w:rsid w:val="001823B8"/>
    <w:rsid w:val="001D6BEA"/>
    <w:rsid w:val="001E2C72"/>
    <w:rsid w:val="002224F0"/>
    <w:rsid w:val="00245754"/>
    <w:rsid w:val="00271E53"/>
    <w:rsid w:val="002845C2"/>
    <w:rsid w:val="002E14AF"/>
    <w:rsid w:val="0032246B"/>
    <w:rsid w:val="00346B8D"/>
    <w:rsid w:val="00354EAB"/>
    <w:rsid w:val="00356CF4"/>
    <w:rsid w:val="00366D0B"/>
    <w:rsid w:val="00375652"/>
    <w:rsid w:val="00383516"/>
    <w:rsid w:val="003844DB"/>
    <w:rsid w:val="003A409E"/>
    <w:rsid w:val="003F4E8D"/>
    <w:rsid w:val="00416E44"/>
    <w:rsid w:val="00460BD8"/>
    <w:rsid w:val="00502BE4"/>
    <w:rsid w:val="00506BC5"/>
    <w:rsid w:val="00536799"/>
    <w:rsid w:val="005713DC"/>
    <w:rsid w:val="005802A0"/>
    <w:rsid w:val="005857E6"/>
    <w:rsid w:val="005B79DD"/>
    <w:rsid w:val="005C1398"/>
    <w:rsid w:val="005C70A1"/>
    <w:rsid w:val="005F4D43"/>
    <w:rsid w:val="006334A2"/>
    <w:rsid w:val="007164C7"/>
    <w:rsid w:val="00743628"/>
    <w:rsid w:val="00760D27"/>
    <w:rsid w:val="007C728B"/>
    <w:rsid w:val="007C7C85"/>
    <w:rsid w:val="007E0395"/>
    <w:rsid w:val="007E1143"/>
    <w:rsid w:val="007F675B"/>
    <w:rsid w:val="007F7C07"/>
    <w:rsid w:val="00823868"/>
    <w:rsid w:val="00827557"/>
    <w:rsid w:val="008722BB"/>
    <w:rsid w:val="008779F5"/>
    <w:rsid w:val="0088642E"/>
    <w:rsid w:val="00886E0E"/>
    <w:rsid w:val="008A5405"/>
    <w:rsid w:val="008D1A8E"/>
    <w:rsid w:val="008F0411"/>
    <w:rsid w:val="008F249E"/>
    <w:rsid w:val="00965A2A"/>
    <w:rsid w:val="00967948"/>
    <w:rsid w:val="00994A41"/>
    <w:rsid w:val="00996DD5"/>
    <w:rsid w:val="009C6EA3"/>
    <w:rsid w:val="009F04D0"/>
    <w:rsid w:val="009F78A7"/>
    <w:rsid w:val="009F7E66"/>
    <w:rsid w:val="00A11BD9"/>
    <w:rsid w:val="00A82574"/>
    <w:rsid w:val="00AC3A97"/>
    <w:rsid w:val="00AD706B"/>
    <w:rsid w:val="00AF3A3D"/>
    <w:rsid w:val="00AF6348"/>
    <w:rsid w:val="00B05CBF"/>
    <w:rsid w:val="00B20462"/>
    <w:rsid w:val="00B546CF"/>
    <w:rsid w:val="00B65D92"/>
    <w:rsid w:val="00BA61F1"/>
    <w:rsid w:val="00BC4643"/>
    <w:rsid w:val="00C01E6F"/>
    <w:rsid w:val="00C86C48"/>
    <w:rsid w:val="00C9758A"/>
    <w:rsid w:val="00CA2D3E"/>
    <w:rsid w:val="00CA4C08"/>
    <w:rsid w:val="00CC28BC"/>
    <w:rsid w:val="00CD7069"/>
    <w:rsid w:val="00D1777E"/>
    <w:rsid w:val="00D63CD3"/>
    <w:rsid w:val="00D82A97"/>
    <w:rsid w:val="00D87660"/>
    <w:rsid w:val="00DB7651"/>
    <w:rsid w:val="00DC4BA3"/>
    <w:rsid w:val="00DD4BCB"/>
    <w:rsid w:val="00DE660A"/>
    <w:rsid w:val="00E43145"/>
    <w:rsid w:val="00E50763"/>
    <w:rsid w:val="00E62524"/>
    <w:rsid w:val="00EB6678"/>
    <w:rsid w:val="00EF333D"/>
    <w:rsid w:val="00F05990"/>
    <w:rsid w:val="00F05C01"/>
    <w:rsid w:val="00F069C3"/>
    <w:rsid w:val="00F06C5E"/>
    <w:rsid w:val="00F10214"/>
    <w:rsid w:val="00F20443"/>
    <w:rsid w:val="00F63191"/>
    <w:rsid w:val="00F64895"/>
    <w:rsid w:val="00F64CD1"/>
    <w:rsid w:val="00F927B0"/>
    <w:rsid w:val="00F9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D82A97"/>
    <w:rPr>
      <w:color w:val="800080" w:themeColor="followedHyperlink"/>
      <w:u w:val="single"/>
    </w:rPr>
  </w:style>
  <w:style w:type="character" w:customStyle="1" w:styleId="qps-blocker-label-detail-text2">
    <w:name w:val="qps-blocker-label-detail-text2"/>
    <w:basedOn w:val="DefaultParagraphFont"/>
    <w:rsid w:val="00E50763"/>
    <w:rPr>
      <w:b/>
      <w:bCs/>
      <w:color w:val="66666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D82A97"/>
    <w:rPr>
      <w:color w:val="800080" w:themeColor="followedHyperlink"/>
      <w:u w:val="single"/>
    </w:rPr>
  </w:style>
  <w:style w:type="character" w:customStyle="1" w:styleId="qps-blocker-label-detail-text2">
    <w:name w:val="qps-blocker-label-detail-text2"/>
    <w:basedOn w:val="DefaultParagraphFont"/>
    <w:rsid w:val="00E50763"/>
    <w:rPr>
      <w:b/>
      <w:bCs/>
      <w:color w:val="6666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971">
      <w:bodyDiv w:val="1"/>
      <w:marLeft w:val="0"/>
      <w:marRight w:val="0"/>
      <w:marTop w:val="0"/>
      <w:marBottom w:val="0"/>
      <w:divBdr>
        <w:top w:val="none" w:sz="0" w:space="0" w:color="auto"/>
        <w:left w:val="none" w:sz="0" w:space="0" w:color="auto"/>
        <w:bottom w:val="none" w:sz="0" w:space="0" w:color="auto"/>
        <w:right w:val="none" w:sz="0" w:space="0" w:color="auto"/>
      </w:divBdr>
      <w:divsChild>
        <w:div w:id="133377938">
          <w:marLeft w:val="0"/>
          <w:marRight w:val="0"/>
          <w:marTop w:val="0"/>
          <w:marBottom w:val="0"/>
          <w:divBdr>
            <w:top w:val="none" w:sz="0" w:space="0" w:color="auto"/>
            <w:left w:val="none" w:sz="0" w:space="0" w:color="auto"/>
            <w:bottom w:val="none" w:sz="0" w:space="0" w:color="auto"/>
            <w:right w:val="none" w:sz="0" w:space="0" w:color="auto"/>
          </w:divBdr>
          <w:divsChild>
            <w:div w:id="186675108">
              <w:marLeft w:val="0"/>
              <w:marRight w:val="0"/>
              <w:marTop w:val="0"/>
              <w:marBottom w:val="0"/>
              <w:divBdr>
                <w:top w:val="none" w:sz="0" w:space="0" w:color="auto"/>
                <w:left w:val="none" w:sz="0" w:space="0" w:color="auto"/>
                <w:bottom w:val="none" w:sz="0" w:space="0" w:color="auto"/>
                <w:right w:val="none" w:sz="0" w:space="0" w:color="auto"/>
              </w:divBdr>
              <w:divsChild>
                <w:div w:id="1101027194">
                  <w:marLeft w:val="0"/>
                  <w:marRight w:val="0"/>
                  <w:marTop w:val="0"/>
                  <w:marBottom w:val="0"/>
                  <w:divBdr>
                    <w:top w:val="single" w:sz="6" w:space="0" w:color="666699"/>
                    <w:left w:val="single" w:sz="6" w:space="0" w:color="666699"/>
                    <w:bottom w:val="single" w:sz="6" w:space="0" w:color="666699"/>
                    <w:right w:val="single" w:sz="6" w:space="0" w:color="666699"/>
                  </w:divBdr>
                  <w:divsChild>
                    <w:div w:id="1830513373">
                      <w:marLeft w:val="0"/>
                      <w:marRight w:val="0"/>
                      <w:marTop w:val="0"/>
                      <w:marBottom w:val="0"/>
                      <w:divBdr>
                        <w:top w:val="none" w:sz="0" w:space="0" w:color="auto"/>
                        <w:left w:val="none" w:sz="0" w:space="0" w:color="auto"/>
                        <w:bottom w:val="none" w:sz="0" w:space="0" w:color="auto"/>
                        <w:right w:val="none" w:sz="0" w:space="0" w:color="auto"/>
                      </w:divBdr>
                      <w:divsChild>
                        <w:div w:id="850728507">
                          <w:marLeft w:val="2175"/>
                          <w:marRight w:val="150"/>
                          <w:marTop w:val="0"/>
                          <w:marBottom w:val="0"/>
                          <w:divBdr>
                            <w:top w:val="single" w:sz="6" w:space="0" w:color="000066"/>
                            <w:left w:val="single" w:sz="6" w:space="0" w:color="000066"/>
                            <w:bottom w:val="single" w:sz="6" w:space="0" w:color="000066"/>
                            <w:right w:val="single" w:sz="6" w:space="0" w:color="000066"/>
                          </w:divBdr>
                          <w:divsChild>
                            <w:div w:id="1795250030">
                              <w:marLeft w:val="150"/>
                              <w:marRight w:val="150"/>
                              <w:marTop w:val="150"/>
                              <w:marBottom w:val="150"/>
                              <w:divBdr>
                                <w:top w:val="none" w:sz="0" w:space="0" w:color="auto"/>
                                <w:left w:val="none" w:sz="0" w:space="0" w:color="auto"/>
                                <w:bottom w:val="none" w:sz="0" w:space="0" w:color="auto"/>
                                <w:right w:val="none" w:sz="0" w:space="0" w:color="auto"/>
                              </w:divBdr>
                              <w:divsChild>
                                <w:div w:id="1353799020">
                                  <w:marLeft w:val="0"/>
                                  <w:marRight w:val="0"/>
                                  <w:marTop w:val="0"/>
                                  <w:marBottom w:val="0"/>
                                  <w:divBdr>
                                    <w:top w:val="none" w:sz="0" w:space="0" w:color="auto"/>
                                    <w:left w:val="none" w:sz="0" w:space="0" w:color="auto"/>
                                    <w:bottom w:val="none" w:sz="0" w:space="0" w:color="auto"/>
                                    <w:right w:val="none" w:sz="0" w:space="0" w:color="auto"/>
                                  </w:divBdr>
                                  <w:divsChild>
                                    <w:div w:id="1265840270">
                                      <w:marLeft w:val="0"/>
                                      <w:marRight w:val="0"/>
                                      <w:marTop w:val="0"/>
                                      <w:marBottom w:val="0"/>
                                      <w:divBdr>
                                        <w:top w:val="none" w:sz="0" w:space="0" w:color="auto"/>
                                        <w:left w:val="none" w:sz="0" w:space="0" w:color="auto"/>
                                        <w:bottom w:val="none" w:sz="0" w:space="0" w:color="auto"/>
                                        <w:right w:val="none" w:sz="0" w:space="0" w:color="auto"/>
                                      </w:divBdr>
                                      <w:divsChild>
                                        <w:div w:id="292560600">
                                          <w:marLeft w:val="0"/>
                                          <w:marRight w:val="0"/>
                                          <w:marTop w:val="150"/>
                                          <w:marBottom w:val="75"/>
                                          <w:divBdr>
                                            <w:top w:val="none" w:sz="0" w:space="0" w:color="auto"/>
                                            <w:left w:val="none" w:sz="0" w:space="0" w:color="auto"/>
                                            <w:bottom w:val="none" w:sz="0" w:space="0" w:color="auto"/>
                                            <w:right w:val="none" w:sz="0" w:space="0" w:color="auto"/>
                                          </w:divBdr>
                                          <w:divsChild>
                                            <w:div w:id="5369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491875541">
      <w:bodyDiv w:val="1"/>
      <w:marLeft w:val="0"/>
      <w:marRight w:val="0"/>
      <w:marTop w:val="0"/>
      <w:marBottom w:val="0"/>
      <w:divBdr>
        <w:top w:val="none" w:sz="0" w:space="0" w:color="auto"/>
        <w:left w:val="none" w:sz="0" w:space="0" w:color="auto"/>
        <w:bottom w:val="none" w:sz="0" w:space="0" w:color="auto"/>
        <w:right w:val="none" w:sz="0" w:space="0" w:color="auto"/>
      </w:divBdr>
      <w:divsChild>
        <w:div w:id="863127484">
          <w:marLeft w:val="0"/>
          <w:marRight w:val="0"/>
          <w:marTop w:val="0"/>
          <w:marBottom w:val="0"/>
          <w:divBdr>
            <w:top w:val="none" w:sz="0" w:space="0" w:color="auto"/>
            <w:left w:val="none" w:sz="0" w:space="0" w:color="auto"/>
            <w:bottom w:val="none" w:sz="0" w:space="0" w:color="auto"/>
            <w:right w:val="none" w:sz="0" w:space="0" w:color="auto"/>
          </w:divBdr>
          <w:divsChild>
            <w:div w:id="1469124133">
              <w:marLeft w:val="0"/>
              <w:marRight w:val="0"/>
              <w:marTop w:val="0"/>
              <w:marBottom w:val="0"/>
              <w:divBdr>
                <w:top w:val="none" w:sz="0" w:space="0" w:color="auto"/>
                <w:left w:val="none" w:sz="0" w:space="0" w:color="auto"/>
                <w:bottom w:val="none" w:sz="0" w:space="0" w:color="auto"/>
                <w:right w:val="none" w:sz="0" w:space="0" w:color="auto"/>
              </w:divBdr>
              <w:divsChild>
                <w:div w:id="2050183429">
                  <w:marLeft w:val="0"/>
                  <w:marRight w:val="0"/>
                  <w:marTop w:val="0"/>
                  <w:marBottom w:val="0"/>
                  <w:divBdr>
                    <w:top w:val="single" w:sz="6" w:space="0" w:color="666699"/>
                    <w:left w:val="single" w:sz="6" w:space="0" w:color="666699"/>
                    <w:bottom w:val="single" w:sz="6" w:space="0" w:color="666699"/>
                    <w:right w:val="single" w:sz="6" w:space="0" w:color="666699"/>
                  </w:divBdr>
                  <w:divsChild>
                    <w:div w:id="1549682499">
                      <w:marLeft w:val="0"/>
                      <w:marRight w:val="0"/>
                      <w:marTop w:val="0"/>
                      <w:marBottom w:val="0"/>
                      <w:divBdr>
                        <w:top w:val="none" w:sz="0" w:space="0" w:color="auto"/>
                        <w:left w:val="none" w:sz="0" w:space="0" w:color="auto"/>
                        <w:bottom w:val="none" w:sz="0" w:space="0" w:color="auto"/>
                        <w:right w:val="none" w:sz="0" w:space="0" w:color="auto"/>
                      </w:divBdr>
                      <w:divsChild>
                        <w:div w:id="1435056861">
                          <w:marLeft w:val="2175"/>
                          <w:marRight w:val="150"/>
                          <w:marTop w:val="0"/>
                          <w:marBottom w:val="0"/>
                          <w:divBdr>
                            <w:top w:val="single" w:sz="6" w:space="0" w:color="000066"/>
                            <w:left w:val="single" w:sz="6" w:space="0" w:color="000066"/>
                            <w:bottom w:val="single" w:sz="6" w:space="0" w:color="000066"/>
                            <w:right w:val="single" w:sz="6" w:space="0" w:color="000066"/>
                          </w:divBdr>
                          <w:divsChild>
                            <w:div w:id="568921698">
                              <w:marLeft w:val="150"/>
                              <w:marRight w:val="150"/>
                              <w:marTop w:val="150"/>
                              <w:marBottom w:val="150"/>
                              <w:divBdr>
                                <w:top w:val="none" w:sz="0" w:space="0" w:color="auto"/>
                                <w:left w:val="none" w:sz="0" w:space="0" w:color="auto"/>
                                <w:bottom w:val="none" w:sz="0" w:space="0" w:color="auto"/>
                                <w:right w:val="none" w:sz="0" w:space="0" w:color="auto"/>
                              </w:divBdr>
                              <w:divsChild>
                                <w:div w:id="506406884">
                                  <w:marLeft w:val="0"/>
                                  <w:marRight w:val="0"/>
                                  <w:marTop w:val="0"/>
                                  <w:marBottom w:val="0"/>
                                  <w:divBdr>
                                    <w:top w:val="none" w:sz="0" w:space="0" w:color="auto"/>
                                    <w:left w:val="none" w:sz="0" w:space="0" w:color="auto"/>
                                    <w:bottom w:val="none" w:sz="0" w:space="0" w:color="auto"/>
                                    <w:right w:val="none" w:sz="0" w:space="0" w:color="auto"/>
                                  </w:divBdr>
                                  <w:divsChild>
                                    <w:div w:id="556742744">
                                      <w:marLeft w:val="0"/>
                                      <w:marRight w:val="0"/>
                                      <w:marTop w:val="0"/>
                                      <w:marBottom w:val="0"/>
                                      <w:divBdr>
                                        <w:top w:val="none" w:sz="0" w:space="0" w:color="auto"/>
                                        <w:left w:val="none" w:sz="0" w:space="0" w:color="auto"/>
                                        <w:bottom w:val="none" w:sz="0" w:space="0" w:color="auto"/>
                                        <w:right w:val="none" w:sz="0" w:space="0" w:color="auto"/>
                                      </w:divBdr>
                                      <w:divsChild>
                                        <w:div w:id="523324756">
                                          <w:marLeft w:val="0"/>
                                          <w:marRight w:val="0"/>
                                          <w:marTop w:val="150"/>
                                          <w:marBottom w:val="75"/>
                                          <w:divBdr>
                                            <w:top w:val="none" w:sz="0" w:space="0" w:color="auto"/>
                                            <w:left w:val="none" w:sz="0" w:space="0" w:color="auto"/>
                                            <w:bottom w:val="none" w:sz="0" w:space="0" w:color="auto"/>
                                            <w:right w:val="none" w:sz="0" w:space="0" w:color="auto"/>
                                          </w:divBdr>
                                          <w:divsChild>
                                            <w:div w:id="1234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84056">
      <w:bodyDiv w:val="1"/>
      <w:marLeft w:val="0"/>
      <w:marRight w:val="0"/>
      <w:marTop w:val="0"/>
      <w:marBottom w:val="0"/>
      <w:divBdr>
        <w:top w:val="none" w:sz="0" w:space="0" w:color="auto"/>
        <w:left w:val="none" w:sz="0" w:space="0" w:color="auto"/>
        <w:bottom w:val="none" w:sz="0" w:space="0" w:color="auto"/>
        <w:right w:val="none" w:sz="0" w:space="0" w:color="auto"/>
      </w:divBdr>
      <w:divsChild>
        <w:div w:id="2079861723">
          <w:marLeft w:val="0"/>
          <w:marRight w:val="0"/>
          <w:marTop w:val="0"/>
          <w:marBottom w:val="0"/>
          <w:divBdr>
            <w:top w:val="none" w:sz="0" w:space="0" w:color="auto"/>
            <w:left w:val="none" w:sz="0" w:space="0" w:color="auto"/>
            <w:bottom w:val="none" w:sz="0" w:space="0" w:color="auto"/>
            <w:right w:val="none" w:sz="0" w:space="0" w:color="auto"/>
          </w:divBdr>
          <w:divsChild>
            <w:div w:id="737677086">
              <w:marLeft w:val="0"/>
              <w:marRight w:val="0"/>
              <w:marTop w:val="0"/>
              <w:marBottom w:val="0"/>
              <w:divBdr>
                <w:top w:val="none" w:sz="0" w:space="0" w:color="auto"/>
                <w:left w:val="none" w:sz="0" w:space="0" w:color="auto"/>
                <w:bottom w:val="none" w:sz="0" w:space="0" w:color="auto"/>
                <w:right w:val="none" w:sz="0" w:space="0" w:color="auto"/>
              </w:divBdr>
              <w:divsChild>
                <w:div w:id="47731952">
                  <w:marLeft w:val="0"/>
                  <w:marRight w:val="0"/>
                  <w:marTop w:val="0"/>
                  <w:marBottom w:val="0"/>
                  <w:divBdr>
                    <w:top w:val="single" w:sz="6" w:space="0" w:color="666699"/>
                    <w:left w:val="single" w:sz="6" w:space="0" w:color="666699"/>
                    <w:bottom w:val="single" w:sz="6" w:space="0" w:color="666699"/>
                    <w:right w:val="single" w:sz="6" w:space="0" w:color="666699"/>
                  </w:divBdr>
                  <w:divsChild>
                    <w:div w:id="1569070239">
                      <w:marLeft w:val="0"/>
                      <w:marRight w:val="0"/>
                      <w:marTop w:val="0"/>
                      <w:marBottom w:val="0"/>
                      <w:divBdr>
                        <w:top w:val="none" w:sz="0" w:space="0" w:color="auto"/>
                        <w:left w:val="none" w:sz="0" w:space="0" w:color="auto"/>
                        <w:bottom w:val="none" w:sz="0" w:space="0" w:color="auto"/>
                        <w:right w:val="none" w:sz="0" w:space="0" w:color="auto"/>
                      </w:divBdr>
                      <w:divsChild>
                        <w:div w:id="118381677">
                          <w:marLeft w:val="2175"/>
                          <w:marRight w:val="150"/>
                          <w:marTop w:val="0"/>
                          <w:marBottom w:val="0"/>
                          <w:divBdr>
                            <w:top w:val="single" w:sz="6" w:space="0" w:color="000066"/>
                            <w:left w:val="single" w:sz="6" w:space="0" w:color="000066"/>
                            <w:bottom w:val="single" w:sz="6" w:space="0" w:color="000066"/>
                            <w:right w:val="single" w:sz="6" w:space="0" w:color="000066"/>
                          </w:divBdr>
                          <w:divsChild>
                            <w:div w:id="2062167470">
                              <w:marLeft w:val="150"/>
                              <w:marRight w:val="150"/>
                              <w:marTop w:val="150"/>
                              <w:marBottom w:val="150"/>
                              <w:divBdr>
                                <w:top w:val="none" w:sz="0" w:space="0" w:color="auto"/>
                                <w:left w:val="none" w:sz="0" w:space="0" w:color="auto"/>
                                <w:bottom w:val="none" w:sz="0" w:space="0" w:color="auto"/>
                                <w:right w:val="none" w:sz="0" w:space="0" w:color="auto"/>
                              </w:divBdr>
                              <w:divsChild>
                                <w:div w:id="527566588">
                                  <w:marLeft w:val="0"/>
                                  <w:marRight w:val="0"/>
                                  <w:marTop w:val="0"/>
                                  <w:marBottom w:val="0"/>
                                  <w:divBdr>
                                    <w:top w:val="none" w:sz="0" w:space="0" w:color="auto"/>
                                    <w:left w:val="none" w:sz="0" w:space="0" w:color="auto"/>
                                    <w:bottom w:val="none" w:sz="0" w:space="0" w:color="auto"/>
                                    <w:right w:val="none" w:sz="0" w:space="0" w:color="auto"/>
                                  </w:divBdr>
                                  <w:divsChild>
                                    <w:div w:id="724447419">
                                      <w:marLeft w:val="0"/>
                                      <w:marRight w:val="0"/>
                                      <w:marTop w:val="0"/>
                                      <w:marBottom w:val="0"/>
                                      <w:divBdr>
                                        <w:top w:val="none" w:sz="0" w:space="0" w:color="auto"/>
                                        <w:left w:val="none" w:sz="0" w:space="0" w:color="auto"/>
                                        <w:bottom w:val="none" w:sz="0" w:space="0" w:color="auto"/>
                                        <w:right w:val="none" w:sz="0" w:space="0" w:color="auto"/>
                                      </w:divBdr>
                                      <w:divsChild>
                                        <w:div w:id="1039471482">
                                          <w:marLeft w:val="0"/>
                                          <w:marRight w:val="0"/>
                                          <w:marTop w:val="150"/>
                                          <w:marBottom w:val="75"/>
                                          <w:divBdr>
                                            <w:top w:val="none" w:sz="0" w:space="0" w:color="auto"/>
                                            <w:left w:val="none" w:sz="0" w:space="0" w:color="auto"/>
                                            <w:bottom w:val="none" w:sz="0" w:space="0" w:color="auto"/>
                                            <w:right w:val="none" w:sz="0" w:space="0" w:color="auto"/>
                                          </w:divBdr>
                                          <w:divsChild>
                                            <w:div w:id="18822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litymeasures.ahrq.gov/content.aspx?id=3886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65B64-3F61-4E2C-8400-BE68923C2404}">
  <ds:schemaRefs>
    <ds:schemaRef ds:uri="http://schemas.microsoft.com/sharepoint/v3/contenttype/forms"/>
  </ds:schemaRefs>
</ds:datastoreItem>
</file>

<file path=customXml/itemProps2.xml><?xml version="1.0" encoding="utf-8"?>
<ds:datastoreItem xmlns:ds="http://schemas.openxmlformats.org/officeDocument/2006/customXml" ds:itemID="{7733D34F-8599-45A9-B5E8-82176D409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DE0D4F-BA92-45B1-B9C0-45E65F6E551D}">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E1AC1C9-5F0B-4DF2-B2B2-D25F5551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Woodard,Jennifer (HHSC)</cp:lastModifiedBy>
  <cp:revision>2</cp:revision>
  <dcterms:created xsi:type="dcterms:W3CDTF">2014-02-27T22:17:00Z</dcterms:created>
  <dcterms:modified xsi:type="dcterms:W3CDTF">2014-02-27T22:17:00Z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