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CA61" w14:textId="77777777" w:rsidR="00AD706B" w:rsidRDefault="00AD706B" w:rsidP="00AD706B">
      <w:pPr>
        <w:pStyle w:val="Heading1"/>
      </w:pPr>
      <w:r>
        <w:t>IT-</w:t>
      </w:r>
      <w:r w:rsidR="0066684E">
        <w:t>1.23</w:t>
      </w:r>
      <w:r>
        <w:t xml:space="preserve">:  </w:t>
      </w:r>
      <w:r w:rsidR="0066684E">
        <w:t>Tobacco Use: Screening and Cessation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D2FCA64" w14:textId="77777777" w:rsidTr="00724DFD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D2FCA62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D2FCA63" w14:textId="009DCC29" w:rsidR="00AD706B" w:rsidRPr="0066684E" w:rsidRDefault="00A242B8" w:rsidP="0066684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IT-1.23 </w:t>
            </w:r>
            <w:r w:rsidR="0066684E" w:rsidRPr="0066684E">
              <w:rPr>
                <w:b/>
              </w:rPr>
              <w:t>Preventive care and screening: percentage of patients 18 years and older who were screened for tobacco use at least once during the two-year measurement period AND who received cessation counseling intervention if identified as a tobacco user.</w:t>
            </w:r>
          </w:p>
        </w:tc>
      </w:tr>
      <w:tr w:rsidR="00AD706B" w14:paraId="7D2FCA67" w14:textId="77777777" w:rsidTr="00724DFD">
        <w:tc>
          <w:tcPr>
            <w:tcW w:w="2718" w:type="dxa"/>
          </w:tcPr>
          <w:p w14:paraId="7D2FCA65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7D2FCA66" w14:textId="77777777" w:rsidR="0066684E" w:rsidRDefault="0066684E" w:rsidP="00B05CBF">
            <w:pPr>
              <w:pStyle w:val="NoSpacing"/>
            </w:pPr>
            <w:r w:rsidRPr="0066684E">
              <w:t>This measure is used to assess the percentage of patients aged 18 years and older who were screened for tobacco use at least once during the two-year measurement period AND who received cessation counseling intervention if identified as a tobacco user.</w:t>
            </w:r>
          </w:p>
        </w:tc>
      </w:tr>
      <w:tr w:rsidR="00AD706B" w14:paraId="7D2FCA6A" w14:textId="77777777" w:rsidTr="00724DFD">
        <w:tc>
          <w:tcPr>
            <w:tcW w:w="2718" w:type="dxa"/>
          </w:tcPr>
          <w:p w14:paraId="7D2FCA6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D2FCA69" w14:textId="77777777" w:rsidR="00AD706B" w:rsidRDefault="0066684E" w:rsidP="00B05CBF">
            <w:pPr>
              <w:pStyle w:val="NoSpacing"/>
            </w:pPr>
            <w:r>
              <w:t>0028</w:t>
            </w:r>
          </w:p>
        </w:tc>
      </w:tr>
      <w:tr w:rsidR="00AD706B" w14:paraId="7D2FCA6D" w14:textId="77777777" w:rsidTr="00724DFD">
        <w:tc>
          <w:tcPr>
            <w:tcW w:w="2718" w:type="dxa"/>
          </w:tcPr>
          <w:p w14:paraId="7D2FCA6B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D2FCA6C" w14:textId="77777777" w:rsidR="00AD706B" w:rsidRPr="00631E85" w:rsidRDefault="0066684E" w:rsidP="00A374B8">
            <w:pPr>
              <w:pStyle w:val="NoSpacing"/>
            </w:pPr>
            <w:r w:rsidRPr="0066684E">
              <w:t>American Medical Association - convened Physician Consortium for Performance Improvement</w:t>
            </w:r>
          </w:p>
        </w:tc>
      </w:tr>
      <w:tr w:rsidR="00AD706B" w14:paraId="7D2FCA70" w14:textId="77777777" w:rsidTr="00724DFD">
        <w:tc>
          <w:tcPr>
            <w:tcW w:w="2718" w:type="dxa"/>
          </w:tcPr>
          <w:p w14:paraId="7D2FCA6E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70032262" w14:textId="6F041E9F" w:rsidR="00A242B8" w:rsidRDefault="00D43E2A" w:rsidP="00A374B8">
            <w:pPr>
              <w:pStyle w:val="NoSpacing"/>
            </w:pPr>
            <w:hyperlink r:id="rId12" w:history="1">
              <w:r w:rsidRPr="00D528B9">
                <w:rPr>
                  <w:rStyle w:val="Hyperlink"/>
                </w:rPr>
                <w:t>http://www.qualityforum.org/</w:t>
              </w:r>
            </w:hyperlink>
            <w:r>
              <w:t xml:space="preserve"> </w:t>
            </w:r>
          </w:p>
          <w:p w14:paraId="7D2FCA6F" w14:textId="74859D28" w:rsidR="00AD706B" w:rsidRPr="00631E85" w:rsidRDefault="00D43E2A" w:rsidP="00A374B8">
            <w:pPr>
              <w:pStyle w:val="NoSpacing"/>
            </w:pPr>
            <w:hyperlink r:id="rId13" w:history="1">
              <w:r w:rsidR="00BA4BE8" w:rsidRPr="00940D98">
                <w:rPr>
                  <w:rStyle w:val="Hyperlink"/>
                </w:rPr>
                <w:t>http://www.qualitymeasures.ahrq.gov/content.aspx?id=27942&amp;search=tobacco+screening+and+cessation</w:t>
              </w:r>
            </w:hyperlink>
            <w:r w:rsidR="00BA4BE8">
              <w:t xml:space="preserve"> </w:t>
            </w:r>
          </w:p>
        </w:tc>
      </w:tr>
      <w:tr w:rsidR="00AD706B" w14:paraId="7D2FCA73" w14:textId="77777777" w:rsidTr="00724DFD">
        <w:tc>
          <w:tcPr>
            <w:tcW w:w="2718" w:type="dxa"/>
          </w:tcPr>
          <w:p w14:paraId="7D2FCA71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D2FCA72" w14:textId="77777777" w:rsidR="00AD706B" w:rsidRDefault="00165D76" w:rsidP="00AD706B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A242B8" w14:paraId="7D2FCA76" w14:textId="77777777" w:rsidTr="00724DFD">
        <w:tc>
          <w:tcPr>
            <w:tcW w:w="2718" w:type="dxa"/>
          </w:tcPr>
          <w:p w14:paraId="7D2FCA74" w14:textId="298D134A" w:rsidR="00A242B8" w:rsidRDefault="00A242B8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5BC3CF3E" w14:textId="77777777" w:rsidR="00A242B8" w:rsidRDefault="00A242B8" w:rsidP="007D6148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A242B8" w14:paraId="0D87AA0A" w14:textId="77777777" w:rsidTr="007D6148">
              <w:tc>
                <w:tcPr>
                  <w:tcW w:w="1880" w:type="dxa"/>
                </w:tcPr>
                <w:p w14:paraId="01F26EB5" w14:textId="77777777" w:rsidR="00A242B8" w:rsidRPr="00791AAE" w:rsidRDefault="00A242B8" w:rsidP="007D6148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4C8DC436" w14:textId="77777777" w:rsidR="00A242B8" w:rsidRPr="00791AAE" w:rsidRDefault="00A242B8" w:rsidP="007D6148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75AD16C5" w14:textId="77777777" w:rsidR="00A242B8" w:rsidRPr="00791AAE" w:rsidRDefault="00A242B8" w:rsidP="007D6148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0C4F7B88" w14:textId="77777777" w:rsidR="00A242B8" w:rsidRPr="00791AAE" w:rsidRDefault="00A242B8" w:rsidP="007D6148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6042BC8A" w14:textId="77777777" w:rsidR="00A242B8" w:rsidRPr="00791AAE" w:rsidRDefault="00A242B8" w:rsidP="007D6148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7B47D372" w14:textId="77777777" w:rsidR="00A242B8" w:rsidRPr="00791AAE" w:rsidRDefault="00A242B8" w:rsidP="007D6148">
                  <w:pPr>
                    <w:pStyle w:val="NoSpacing"/>
                    <w:jc w:val="center"/>
                  </w:pPr>
                </w:p>
              </w:tc>
            </w:tr>
            <w:tr w:rsidR="00A242B8" w14:paraId="39B6F047" w14:textId="77777777" w:rsidTr="007D6148">
              <w:tc>
                <w:tcPr>
                  <w:tcW w:w="1880" w:type="dxa"/>
                  <w:vMerge w:val="restart"/>
                </w:tcPr>
                <w:p w14:paraId="2892EB38" w14:textId="77777777" w:rsidR="00A242B8" w:rsidRPr="00791AAE" w:rsidRDefault="00A242B8" w:rsidP="007D6148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14:paraId="275695EB" w14:textId="77777777" w:rsidR="00A242B8" w:rsidRPr="00791AAE" w:rsidRDefault="00A242B8" w:rsidP="007D6148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3FC2124A" w14:textId="77777777" w:rsidR="00A242B8" w:rsidRDefault="00A242B8" w:rsidP="007D6148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13448A63" w14:textId="77777777" w:rsidR="00A242B8" w:rsidRPr="00791AAE" w:rsidRDefault="00A242B8" w:rsidP="007D6148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477DA1DA" w14:textId="77777777" w:rsidR="00A242B8" w:rsidRPr="00791AAE" w:rsidRDefault="00A242B8" w:rsidP="007D6148">
                  <w:pPr>
                    <w:pStyle w:val="NoSpacing"/>
                    <w:jc w:val="center"/>
                  </w:pPr>
                  <w:r w:rsidRPr="00F2515D">
                    <w:t xml:space="preserve">MPL </w:t>
                  </w:r>
                  <w:r>
                    <w:t>+</w:t>
                  </w:r>
                  <w:r w:rsidRPr="00F2515D">
                    <w:t xml:space="preserve"> 10%* (HPL-MPL)</w:t>
                  </w:r>
                </w:p>
              </w:tc>
            </w:tr>
            <w:tr w:rsidR="00A242B8" w14:paraId="55B98282" w14:textId="77777777" w:rsidTr="007D6148">
              <w:tc>
                <w:tcPr>
                  <w:tcW w:w="1880" w:type="dxa"/>
                  <w:vMerge/>
                </w:tcPr>
                <w:p w14:paraId="3A2CA398" w14:textId="77777777" w:rsidR="00A242B8" w:rsidRPr="00791AAE" w:rsidRDefault="00A242B8" w:rsidP="007D6148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5D8CC2DA" w14:textId="77777777" w:rsidR="00A242B8" w:rsidRDefault="00A242B8" w:rsidP="007D6148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7C1C0DB8" w14:textId="77777777" w:rsidR="00A242B8" w:rsidRPr="00791AAE" w:rsidRDefault="00A242B8" w:rsidP="007D6148">
                  <w:pPr>
                    <w:pStyle w:val="NoSpacing"/>
                    <w:jc w:val="center"/>
                  </w:pPr>
                  <w:r>
                    <w:t>B</w:t>
                  </w:r>
                  <w:r w:rsidRPr="00BD6219">
                    <w:t xml:space="preserve">aseline </w:t>
                  </w:r>
                  <w:r>
                    <w:t>+</w:t>
                  </w:r>
                  <w:r w:rsidRPr="00BD6219">
                    <w:t xml:space="preserve"> 10%*(HPL - </w:t>
                  </w:r>
                  <w:r>
                    <w:t>B</w:t>
                  </w:r>
                  <w:r w:rsidRPr="00BD6219">
                    <w:t>aseline)</w:t>
                  </w:r>
                </w:p>
              </w:tc>
              <w:tc>
                <w:tcPr>
                  <w:tcW w:w="1846" w:type="dxa"/>
                </w:tcPr>
                <w:p w14:paraId="5B473498" w14:textId="77777777" w:rsidR="00A242B8" w:rsidRPr="00791AAE" w:rsidRDefault="00A242B8" w:rsidP="007D6148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</w:t>
                  </w:r>
                  <w:r>
                    <w:t>+</w:t>
                  </w:r>
                  <w:r w:rsidRPr="00155143">
                    <w:t xml:space="preserve">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7D2FCA75" w14:textId="2429D9E6" w:rsidR="00A242B8" w:rsidRDefault="00A242B8" w:rsidP="009E0811">
            <w:pPr>
              <w:pStyle w:val="NoSpacing"/>
            </w:pPr>
          </w:p>
        </w:tc>
      </w:tr>
      <w:tr w:rsidR="00A242B8" w14:paraId="23A34B86" w14:textId="77777777" w:rsidTr="00724DFD">
        <w:tc>
          <w:tcPr>
            <w:tcW w:w="2718" w:type="dxa"/>
          </w:tcPr>
          <w:p w14:paraId="44AAB9AA" w14:textId="48D0A685" w:rsidR="00A242B8" w:rsidRDefault="00A242B8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85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40"/>
            </w:tblGrid>
            <w:tr w:rsidR="00A242B8" w14:paraId="61FAE5FF" w14:textId="77777777" w:rsidTr="00724DFD">
              <w:tc>
                <w:tcPr>
                  <w:tcW w:w="6637" w:type="dxa"/>
                  <w:gridSpan w:val="2"/>
                </w:tcPr>
                <w:p w14:paraId="0791085F" w14:textId="08B04924" w:rsidR="00A242B8" w:rsidRPr="00791AAE" w:rsidRDefault="00986851" w:rsidP="007D6148">
                  <w:pPr>
                    <w:pStyle w:val="NoSpacing"/>
                    <w:jc w:val="center"/>
                  </w:pPr>
                  <w:r>
                    <w:t>NCQA Quality Compass</w:t>
                  </w:r>
                </w:p>
              </w:tc>
            </w:tr>
            <w:tr w:rsidR="00A242B8" w14:paraId="0316B177" w14:textId="77777777" w:rsidTr="00724DFD">
              <w:tc>
                <w:tcPr>
                  <w:tcW w:w="3397" w:type="dxa"/>
                </w:tcPr>
                <w:p w14:paraId="71565E65" w14:textId="77777777" w:rsidR="00A242B8" w:rsidRPr="00791AAE" w:rsidRDefault="00A242B8" w:rsidP="007D6148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</w:tcPr>
                <w:p w14:paraId="19704513" w14:textId="268243DF" w:rsidR="00A242B8" w:rsidRPr="00791AAE" w:rsidRDefault="00A242B8" w:rsidP="00A242B8">
                  <w:pPr>
                    <w:pStyle w:val="NoSpacing"/>
                    <w:jc w:val="center"/>
                  </w:pPr>
                  <w:r>
                    <w:t>50</w:t>
                  </w:r>
                  <w:r w:rsidRPr="00C91245">
                    <w:t>.</w:t>
                  </w:r>
                  <w:r>
                    <w:t>66%</w:t>
                  </w:r>
                </w:p>
              </w:tc>
            </w:tr>
            <w:tr w:rsidR="00A242B8" w14:paraId="476923D7" w14:textId="77777777" w:rsidTr="00724DFD">
              <w:tc>
                <w:tcPr>
                  <w:tcW w:w="3397" w:type="dxa"/>
                </w:tcPr>
                <w:p w14:paraId="18A2C141" w14:textId="77777777" w:rsidR="00A242B8" w:rsidRPr="00791AAE" w:rsidRDefault="00A242B8" w:rsidP="007D6148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283705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</w:tcPr>
                <w:p w14:paraId="36DC95BC" w14:textId="2DAA5457" w:rsidR="00A242B8" w:rsidRPr="00791AAE" w:rsidRDefault="00A242B8" w:rsidP="00A242B8">
                  <w:pPr>
                    <w:pStyle w:val="NoSpacing"/>
                    <w:jc w:val="center"/>
                  </w:pPr>
                  <w:r>
                    <w:t>34</w:t>
                  </w:r>
                  <w:r w:rsidRPr="00C91245">
                    <w:t>.</w:t>
                  </w:r>
                  <w:r>
                    <w:t>0</w:t>
                  </w:r>
                  <w:r w:rsidRPr="00C91245">
                    <w:t>9</w:t>
                  </w:r>
                  <w:r>
                    <w:t>%</w:t>
                  </w:r>
                </w:p>
              </w:tc>
            </w:tr>
          </w:tbl>
          <w:p w14:paraId="64A1861F" w14:textId="77777777" w:rsidR="00A242B8" w:rsidRDefault="00A242B8" w:rsidP="009E0811">
            <w:pPr>
              <w:pStyle w:val="NoSpacing"/>
            </w:pPr>
          </w:p>
        </w:tc>
      </w:tr>
      <w:tr w:rsidR="00AD706B" w14:paraId="7D2FCA7B" w14:textId="77777777" w:rsidTr="00724DFD">
        <w:tc>
          <w:tcPr>
            <w:tcW w:w="2718" w:type="dxa"/>
          </w:tcPr>
          <w:p w14:paraId="7D2FCA7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7D2FCA78" w14:textId="77777777" w:rsidR="00FA6709" w:rsidRDefault="00FA6709" w:rsidP="00FA6709">
            <w:pPr>
              <w:pStyle w:val="NoSpacing"/>
            </w:pPr>
            <w:r>
              <w:t>The Measure Steward’s specification has been mo</w:t>
            </w:r>
            <w:bookmarkStart w:id="0" w:name="_GoBack"/>
            <w:bookmarkEnd w:id="0"/>
            <w:r>
              <w:t>dified as follows:</w:t>
            </w:r>
          </w:p>
          <w:p w14:paraId="7D2FCA79" w14:textId="77777777" w:rsidR="00FA6709" w:rsidRDefault="00FA6709" w:rsidP="00FA6709">
            <w:pPr>
              <w:pStyle w:val="NoSpacing"/>
              <w:numPr>
                <w:ilvl w:val="0"/>
                <w:numId w:val="9"/>
              </w:numPr>
            </w:pPr>
            <w:r>
              <w:t xml:space="preserve">Removed references to “Denominator Inclusions/Exclusions field” in numerator and denominator description fields. </w:t>
            </w:r>
          </w:p>
          <w:p w14:paraId="7D2FCA7A" w14:textId="77777777" w:rsidR="009F78A7" w:rsidRPr="00B67487" w:rsidRDefault="009F78A7" w:rsidP="00B67487">
            <w:pPr>
              <w:pStyle w:val="NoSpacing"/>
              <w:rPr>
                <w:highlight w:val="yellow"/>
              </w:rPr>
            </w:pPr>
          </w:p>
        </w:tc>
      </w:tr>
      <w:tr w:rsidR="00AD706B" w14:paraId="7D2FCA7E" w14:textId="77777777" w:rsidTr="00724DFD">
        <w:tc>
          <w:tcPr>
            <w:tcW w:w="2718" w:type="dxa"/>
          </w:tcPr>
          <w:p w14:paraId="7D2FCA7C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D2FCA7D" w14:textId="32FCD923" w:rsidR="00AD706B" w:rsidRPr="009F7E66" w:rsidRDefault="009E0811" w:rsidP="009E0811">
            <w:pPr>
              <w:pStyle w:val="NoSpacing"/>
            </w:pPr>
            <w:r w:rsidRPr="009E0811">
              <w:t>All patients aged 18 years and older who were seen twice for any visits or who had at least one preventive care visit during the two year measurement period</w:t>
            </w:r>
            <w:r>
              <w:t>.</w:t>
            </w:r>
          </w:p>
        </w:tc>
      </w:tr>
      <w:tr w:rsidR="00B05CBF" w14:paraId="7D2FCA83" w14:textId="77777777" w:rsidTr="00724DFD">
        <w:trPr>
          <w:trHeight w:val="728"/>
        </w:trPr>
        <w:tc>
          <w:tcPr>
            <w:tcW w:w="2718" w:type="dxa"/>
          </w:tcPr>
          <w:p w14:paraId="7D2FCA7F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D2FCA82" w14:textId="77777777" w:rsidR="00B05CBF" w:rsidRPr="0012650D" w:rsidRDefault="009E0811" w:rsidP="009E0811">
            <w:pPr>
              <w:pStyle w:val="NoSpacing"/>
              <w:rPr>
                <w:b/>
              </w:rPr>
            </w:pPr>
            <w:r>
              <w:t>Note: Refer to the original measure documentation for administrative codes.</w:t>
            </w:r>
          </w:p>
        </w:tc>
      </w:tr>
      <w:tr w:rsidR="00B05CBF" w14:paraId="7D2FCA86" w14:textId="77777777" w:rsidTr="00724DFD">
        <w:trPr>
          <w:trHeight w:val="710"/>
        </w:trPr>
        <w:tc>
          <w:tcPr>
            <w:tcW w:w="2718" w:type="dxa"/>
          </w:tcPr>
          <w:p w14:paraId="7D2FCA84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7D2FCA85" w14:textId="77777777" w:rsidR="00B05CBF" w:rsidRPr="001D6BEA" w:rsidRDefault="009E0811" w:rsidP="002E14AF">
            <w:pPr>
              <w:pStyle w:val="NoSpacing"/>
            </w:pPr>
            <w:r w:rsidRPr="009E0811">
              <w:t>Documentation of medical reason(s) for not screening for tobacco use (e.g., limited life expectancy)</w:t>
            </w:r>
            <w:r>
              <w:t>.</w:t>
            </w:r>
          </w:p>
        </w:tc>
      </w:tr>
      <w:tr w:rsidR="00D63CD3" w14:paraId="7D2FCA8C" w14:textId="77777777" w:rsidTr="00724DFD">
        <w:tc>
          <w:tcPr>
            <w:tcW w:w="2718" w:type="dxa"/>
          </w:tcPr>
          <w:p w14:paraId="7D2FCA87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D2FCA88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 xml:space="preserve">12-month measurement period (15 cases for a 6-month measurement </w:t>
            </w:r>
            <w:r w:rsidR="0011709A">
              <w:lastRenderedPageBreak/>
              <w:t>period)</w:t>
            </w:r>
          </w:p>
          <w:p w14:paraId="7D2FCA89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D2FCA8A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D2FCA8B" w14:textId="02C1F91C" w:rsidR="0032246B" w:rsidRPr="001D6BEA" w:rsidRDefault="0032246B" w:rsidP="00AD680C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AD680C">
              <w:t>380,</w:t>
            </w:r>
            <w:r>
              <w:t xml:space="preserve">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D2FCA8F" w14:textId="77777777" w:rsidTr="00724DFD">
        <w:tc>
          <w:tcPr>
            <w:tcW w:w="2718" w:type="dxa"/>
          </w:tcPr>
          <w:p w14:paraId="7D2FCA8D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7D2FCA8E" w14:textId="1870489A" w:rsidR="00AC3A97" w:rsidRPr="009F7E66" w:rsidRDefault="009E0811" w:rsidP="009E0811">
            <w:pPr>
              <w:pStyle w:val="NoSpacing"/>
            </w:pPr>
            <w:r w:rsidRPr="009E0811">
              <w:t>Patients who were screened for tobacco use</w:t>
            </w:r>
            <w:r w:rsidR="00D43E2A">
              <w:t>*</w:t>
            </w:r>
            <w:r w:rsidRPr="009E0811">
              <w:t xml:space="preserve"> at least once during the two-year measurement period AND who received tobacco cessation counseling intervention</w:t>
            </w:r>
            <w:r w:rsidR="00D43E2A">
              <w:t>**</w:t>
            </w:r>
            <w:r w:rsidRPr="009E0811">
              <w:t xml:space="preserve"> if identified as a tobacco user</w:t>
            </w:r>
            <w:r>
              <w:t>.</w:t>
            </w:r>
          </w:p>
        </w:tc>
      </w:tr>
      <w:tr w:rsidR="00AC3A97" w14:paraId="7D2FCA98" w14:textId="77777777" w:rsidTr="00724DFD">
        <w:tc>
          <w:tcPr>
            <w:tcW w:w="2718" w:type="dxa"/>
          </w:tcPr>
          <w:p w14:paraId="7D2FCA9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D2FCA93" w14:textId="77777777" w:rsidR="008104B7" w:rsidRDefault="008104B7" w:rsidP="008104B7">
            <w:pPr>
              <w:pStyle w:val="NoSpacing"/>
            </w:pPr>
            <w:r>
              <w:t>*Includes use of any type of tobacco.</w:t>
            </w:r>
          </w:p>
          <w:p w14:paraId="7D2FCA94" w14:textId="77777777" w:rsidR="008104B7" w:rsidRDefault="008104B7" w:rsidP="008104B7">
            <w:pPr>
              <w:pStyle w:val="NoSpacing"/>
            </w:pPr>
          </w:p>
          <w:p w14:paraId="7D2FCA95" w14:textId="77777777" w:rsidR="008104B7" w:rsidRDefault="008104B7" w:rsidP="008104B7">
            <w:pPr>
              <w:pStyle w:val="NoSpacing"/>
            </w:pPr>
            <w:r>
              <w:t>**Cessation counseling intervention includes brief counseling (3 minutes or less), and/or pharmacotherapy.</w:t>
            </w:r>
          </w:p>
          <w:p w14:paraId="7D2FCA96" w14:textId="77777777" w:rsidR="008104B7" w:rsidRDefault="008104B7" w:rsidP="008104B7">
            <w:pPr>
              <w:pStyle w:val="NoSpacing"/>
            </w:pPr>
          </w:p>
          <w:p w14:paraId="7D2FCA97" w14:textId="77777777" w:rsidR="00AC3A97" w:rsidRPr="0012650D" w:rsidRDefault="008104B7" w:rsidP="008104B7">
            <w:pPr>
              <w:pStyle w:val="NoSpacing"/>
              <w:rPr>
                <w:b/>
              </w:rPr>
            </w:pPr>
            <w:r>
              <w:t>Note: Refer to the original measure documentation for administrative codes.</w:t>
            </w:r>
          </w:p>
        </w:tc>
      </w:tr>
      <w:tr w:rsidR="00AC3A97" w14:paraId="7D2FCA9B" w14:textId="77777777" w:rsidTr="00724DFD">
        <w:tc>
          <w:tcPr>
            <w:tcW w:w="2718" w:type="dxa"/>
          </w:tcPr>
          <w:p w14:paraId="7D2FCA99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D2FCA9A" w14:textId="77777777" w:rsidR="00AC3A97" w:rsidRPr="001D6BEA" w:rsidRDefault="009F04D0" w:rsidP="002E14AF">
            <w:pPr>
              <w:pStyle w:val="NoSpacing"/>
            </w:pPr>
            <w:r>
              <w:t>The Measure Steward does not identify specific numerator exclusions beyond what is described</w:t>
            </w:r>
            <w:r w:rsidR="008104B7">
              <w:t xml:space="preserve"> in the numerator description.</w:t>
            </w:r>
          </w:p>
        </w:tc>
      </w:tr>
      <w:tr w:rsidR="00AD706B" w14:paraId="7D2FCA9E" w14:textId="77777777" w:rsidTr="00724DFD">
        <w:tc>
          <w:tcPr>
            <w:tcW w:w="2718" w:type="dxa"/>
          </w:tcPr>
          <w:p w14:paraId="7D2FCA9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7D2FCA9D" w14:textId="77777777" w:rsidR="00AD706B" w:rsidRDefault="008104B7" w:rsidP="00CD7069">
            <w:pPr>
              <w:pStyle w:val="NoSpacing"/>
            </w:pPr>
            <w:r>
              <w:t>Multiple</w:t>
            </w:r>
          </w:p>
        </w:tc>
      </w:tr>
      <w:tr w:rsidR="00AD706B" w14:paraId="7D2FCAA3" w14:textId="77777777" w:rsidTr="00724DFD">
        <w:tc>
          <w:tcPr>
            <w:tcW w:w="2718" w:type="dxa"/>
          </w:tcPr>
          <w:p w14:paraId="7D2FCA9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D2FCAA0" w14:textId="77777777" w:rsidR="008104B7" w:rsidRDefault="008104B7" w:rsidP="008104B7">
            <w:pPr>
              <w:pStyle w:val="NoSpacing"/>
            </w:pPr>
            <w:r>
              <w:t>Administrative clinical data</w:t>
            </w:r>
          </w:p>
          <w:p w14:paraId="7D2FCAA1" w14:textId="77777777" w:rsidR="008104B7" w:rsidRDefault="008104B7" w:rsidP="008104B7">
            <w:pPr>
              <w:pStyle w:val="NoSpacing"/>
            </w:pPr>
            <w:r>
              <w:t>Electronic health/medical record</w:t>
            </w:r>
          </w:p>
          <w:p w14:paraId="7D2FCAA2" w14:textId="77777777" w:rsidR="00AD706B" w:rsidRDefault="008104B7" w:rsidP="008104B7">
            <w:pPr>
              <w:pStyle w:val="NoSpacing"/>
            </w:pPr>
            <w:r>
              <w:t>Paper medical record</w:t>
            </w:r>
          </w:p>
        </w:tc>
      </w:tr>
      <w:tr w:rsidR="00D43E2A" w14:paraId="7D2FCAC2" w14:textId="77777777" w:rsidTr="00724DFD">
        <w:tc>
          <w:tcPr>
            <w:tcW w:w="2718" w:type="dxa"/>
          </w:tcPr>
          <w:p w14:paraId="7D2FCAA4" w14:textId="5ED81B8F" w:rsidR="00D43E2A" w:rsidRPr="00717546" w:rsidRDefault="00D43E2A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3B0F85AA" w14:textId="77777777" w:rsidR="00D43E2A" w:rsidRDefault="00D43E2A" w:rsidP="007D6148">
            <w:pPr>
              <w:pStyle w:val="NoSpacing"/>
            </w:pPr>
            <w:r>
              <w:t>All denominator subsets are permissible for this outcome</w:t>
            </w:r>
          </w:p>
          <w:p w14:paraId="7D2FCAC1" w14:textId="12B18A42" w:rsidR="00D43E2A" w:rsidRDefault="00D43E2A" w:rsidP="007F7C07">
            <w:pPr>
              <w:pStyle w:val="NoSpacing"/>
            </w:pPr>
            <w:r>
              <w:t> </w:t>
            </w:r>
          </w:p>
        </w:tc>
      </w:tr>
    </w:tbl>
    <w:p w14:paraId="7D2FCB0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CB10" w14:textId="77777777" w:rsidR="0028383C" w:rsidRDefault="0028383C" w:rsidP="00F63191">
      <w:pPr>
        <w:spacing w:after="0" w:line="240" w:lineRule="auto"/>
      </w:pPr>
      <w:r>
        <w:separator/>
      </w:r>
    </w:p>
  </w:endnote>
  <w:endnote w:type="continuationSeparator" w:id="0">
    <w:p w14:paraId="7D2FCB11" w14:textId="77777777" w:rsidR="0028383C" w:rsidRDefault="0028383C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BC18" w14:textId="2F184CB0" w:rsidR="00D43E2A" w:rsidRDefault="00D43E2A">
    <w:pPr>
      <w:pStyle w:val="Footer"/>
    </w:pPr>
    <w:r>
      <w:t>09/</w:t>
    </w:r>
    <w:r w:rsidR="00986851">
      <w:t>24</w:t>
    </w:r>
    <w:r>
      <w:t>/14</w:t>
    </w:r>
  </w:p>
  <w:p w14:paraId="7D2FCB14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CB0E" w14:textId="77777777" w:rsidR="0028383C" w:rsidRDefault="0028383C" w:rsidP="00F63191">
      <w:pPr>
        <w:spacing w:after="0" w:line="240" w:lineRule="auto"/>
      </w:pPr>
      <w:r>
        <w:separator/>
      </w:r>
    </w:p>
  </w:footnote>
  <w:footnote w:type="continuationSeparator" w:id="0">
    <w:p w14:paraId="7D2FCB0F" w14:textId="77777777" w:rsidR="0028383C" w:rsidRDefault="0028383C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FCB12" w14:textId="68BE8600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5A2D"/>
    <w:rsid w:val="000E7EED"/>
    <w:rsid w:val="00100A2F"/>
    <w:rsid w:val="00107C1A"/>
    <w:rsid w:val="0011709A"/>
    <w:rsid w:val="00165D76"/>
    <w:rsid w:val="001D6BEA"/>
    <w:rsid w:val="002224F0"/>
    <w:rsid w:val="00245754"/>
    <w:rsid w:val="00271E53"/>
    <w:rsid w:val="0028383C"/>
    <w:rsid w:val="002845C2"/>
    <w:rsid w:val="00285883"/>
    <w:rsid w:val="002E14AF"/>
    <w:rsid w:val="0032246B"/>
    <w:rsid w:val="00346B8D"/>
    <w:rsid w:val="00356CF4"/>
    <w:rsid w:val="00366D0B"/>
    <w:rsid w:val="00375652"/>
    <w:rsid w:val="00381404"/>
    <w:rsid w:val="00383516"/>
    <w:rsid w:val="003844DB"/>
    <w:rsid w:val="003A409E"/>
    <w:rsid w:val="003F4E8D"/>
    <w:rsid w:val="00416E44"/>
    <w:rsid w:val="004A3442"/>
    <w:rsid w:val="00502BE4"/>
    <w:rsid w:val="00506BC5"/>
    <w:rsid w:val="00536799"/>
    <w:rsid w:val="005802A0"/>
    <w:rsid w:val="005857E6"/>
    <w:rsid w:val="005B79DD"/>
    <w:rsid w:val="005C3A69"/>
    <w:rsid w:val="005C70A1"/>
    <w:rsid w:val="005F4D43"/>
    <w:rsid w:val="0066684E"/>
    <w:rsid w:val="007164C7"/>
    <w:rsid w:val="00724DFD"/>
    <w:rsid w:val="00743628"/>
    <w:rsid w:val="00760D27"/>
    <w:rsid w:val="007C728B"/>
    <w:rsid w:val="007C7C85"/>
    <w:rsid w:val="007E0395"/>
    <w:rsid w:val="007F675B"/>
    <w:rsid w:val="007F7C07"/>
    <w:rsid w:val="008104B7"/>
    <w:rsid w:val="00823868"/>
    <w:rsid w:val="00827557"/>
    <w:rsid w:val="0085566A"/>
    <w:rsid w:val="008722BB"/>
    <w:rsid w:val="008779F5"/>
    <w:rsid w:val="0088642E"/>
    <w:rsid w:val="00886E0E"/>
    <w:rsid w:val="008A5405"/>
    <w:rsid w:val="008D1A8E"/>
    <w:rsid w:val="008E5828"/>
    <w:rsid w:val="008F0411"/>
    <w:rsid w:val="008F249E"/>
    <w:rsid w:val="00965A2A"/>
    <w:rsid w:val="00967948"/>
    <w:rsid w:val="00986851"/>
    <w:rsid w:val="00994A41"/>
    <w:rsid w:val="00996DD5"/>
    <w:rsid w:val="009C6EA3"/>
    <w:rsid w:val="009E0811"/>
    <w:rsid w:val="009F04D0"/>
    <w:rsid w:val="009F78A7"/>
    <w:rsid w:val="009F7E66"/>
    <w:rsid w:val="00A11BD9"/>
    <w:rsid w:val="00A242B8"/>
    <w:rsid w:val="00A82574"/>
    <w:rsid w:val="00AC3A97"/>
    <w:rsid w:val="00AD680C"/>
    <w:rsid w:val="00AD706B"/>
    <w:rsid w:val="00AF3A3D"/>
    <w:rsid w:val="00B05CBF"/>
    <w:rsid w:val="00B20462"/>
    <w:rsid w:val="00B303A5"/>
    <w:rsid w:val="00B546CF"/>
    <w:rsid w:val="00B65D92"/>
    <w:rsid w:val="00B67487"/>
    <w:rsid w:val="00B94662"/>
    <w:rsid w:val="00BA4BE8"/>
    <w:rsid w:val="00BA61F1"/>
    <w:rsid w:val="00BC4643"/>
    <w:rsid w:val="00BD6DF4"/>
    <w:rsid w:val="00C01E6F"/>
    <w:rsid w:val="00C86C48"/>
    <w:rsid w:val="00C9758A"/>
    <w:rsid w:val="00CA2D3E"/>
    <w:rsid w:val="00CA4C08"/>
    <w:rsid w:val="00CC28BC"/>
    <w:rsid w:val="00CD7069"/>
    <w:rsid w:val="00D1777E"/>
    <w:rsid w:val="00D43E2A"/>
    <w:rsid w:val="00D63CD3"/>
    <w:rsid w:val="00D73FBB"/>
    <w:rsid w:val="00DB7651"/>
    <w:rsid w:val="00DE660A"/>
    <w:rsid w:val="00DF47EB"/>
    <w:rsid w:val="00E006F8"/>
    <w:rsid w:val="00E016D2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C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qualitymeasures.ahrq.gov/content.aspx?id=27942&amp;search=tobacco+screening+and+cessation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5B2D-AB31-4A9B-BB5B-74682B66A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A43CE-4A93-46B7-9B6A-8FD00E28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51AEF-9AA8-4E30-BD0D-A0187B98A638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6260D1-ACE5-40FF-B0E7-9BF937AE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2014-09-24T14:30:00Z</dcterms:created>
  <dcterms:modified xsi:type="dcterms:W3CDTF">2014-09-24T14:30:00Z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