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ED58A" w14:textId="77777777" w:rsidR="00AD706B" w:rsidRDefault="00AD706B" w:rsidP="00AD706B">
      <w:pPr>
        <w:pStyle w:val="Heading1"/>
      </w:pPr>
      <w:r>
        <w:t>IT-</w:t>
      </w:r>
      <w:r w:rsidR="00BE2D7B">
        <w:t>1.21</w:t>
      </w:r>
      <w:r>
        <w:t xml:space="preserve">:  </w:t>
      </w:r>
      <w:r w:rsidR="00BE2D7B">
        <w:t>Adult Body Mass Index (BMI) Assessment</w:t>
      </w:r>
    </w:p>
    <w:tbl>
      <w:tblPr>
        <w:tblStyle w:val="TableGrid"/>
        <w:tblW w:w="0" w:type="auto"/>
        <w:tblLayout w:type="fixed"/>
        <w:tblLook w:val="04A0" w:firstRow="1" w:lastRow="0" w:firstColumn="1" w:lastColumn="0" w:noHBand="0" w:noVBand="1"/>
      </w:tblPr>
      <w:tblGrid>
        <w:gridCol w:w="2268"/>
        <w:gridCol w:w="7308"/>
      </w:tblGrid>
      <w:tr w:rsidR="00AD706B" w14:paraId="1C1ED58D" w14:textId="77777777" w:rsidTr="00A62572">
        <w:trPr>
          <w:tblHeader/>
        </w:trPr>
        <w:tc>
          <w:tcPr>
            <w:tcW w:w="2268" w:type="dxa"/>
            <w:shd w:val="clear" w:color="auto" w:fill="F2F2F2" w:themeFill="background1" w:themeFillShade="F2"/>
          </w:tcPr>
          <w:p w14:paraId="1C1ED58B" w14:textId="77777777" w:rsidR="00AD706B" w:rsidRPr="00717546" w:rsidRDefault="00AD706B" w:rsidP="00A374B8">
            <w:pPr>
              <w:pStyle w:val="NoSpacing"/>
              <w:rPr>
                <w:b/>
              </w:rPr>
            </w:pPr>
            <w:r w:rsidRPr="00717546">
              <w:rPr>
                <w:b/>
              </w:rPr>
              <w:t>Measure Title</w:t>
            </w:r>
          </w:p>
        </w:tc>
        <w:tc>
          <w:tcPr>
            <w:tcW w:w="7308" w:type="dxa"/>
            <w:shd w:val="clear" w:color="auto" w:fill="F2F2F2" w:themeFill="background1" w:themeFillShade="F2"/>
          </w:tcPr>
          <w:p w14:paraId="1C1ED58C" w14:textId="2C6971F0" w:rsidR="00AD706B" w:rsidRPr="008779F5" w:rsidRDefault="004E5FFE" w:rsidP="004E0A9A">
            <w:pPr>
              <w:pStyle w:val="NoSpacing"/>
              <w:rPr>
                <w:b/>
              </w:rPr>
            </w:pPr>
            <w:r>
              <w:rPr>
                <w:b/>
              </w:rPr>
              <w:t xml:space="preserve">IT-1.21 </w:t>
            </w:r>
            <w:r w:rsidR="004E0A9A">
              <w:rPr>
                <w:b/>
              </w:rPr>
              <w:t>Adult Body Mass Index (BMI) A</w:t>
            </w:r>
            <w:r w:rsidR="00BE2D7B" w:rsidRPr="00BE2D7B">
              <w:rPr>
                <w:b/>
              </w:rPr>
              <w:t>ssessment</w:t>
            </w:r>
          </w:p>
        </w:tc>
      </w:tr>
      <w:tr w:rsidR="00AD706B" w14:paraId="1C1ED592" w14:textId="77777777" w:rsidTr="00A62572">
        <w:tc>
          <w:tcPr>
            <w:tcW w:w="2268" w:type="dxa"/>
          </w:tcPr>
          <w:p w14:paraId="1C1ED58E" w14:textId="77777777" w:rsidR="00AD706B" w:rsidRPr="00717546" w:rsidRDefault="00AD706B" w:rsidP="00A374B8">
            <w:pPr>
              <w:pStyle w:val="NoSpacing"/>
              <w:rPr>
                <w:b/>
              </w:rPr>
            </w:pPr>
            <w:r w:rsidRPr="00717546">
              <w:rPr>
                <w:b/>
              </w:rPr>
              <w:t>Description</w:t>
            </w:r>
          </w:p>
        </w:tc>
        <w:tc>
          <w:tcPr>
            <w:tcW w:w="7308" w:type="dxa"/>
          </w:tcPr>
          <w:p w14:paraId="1C1ED591" w14:textId="78A41310" w:rsidR="00AD706B" w:rsidRDefault="009511CC" w:rsidP="00A62572">
            <w:pPr>
              <w:pStyle w:val="NoSpacing"/>
            </w:pPr>
            <w:r>
              <w:t xml:space="preserve">This measure is used to assess the percentage of </w:t>
            </w:r>
            <w:r w:rsidR="00A62572">
              <w:t xml:space="preserve">patients </w:t>
            </w:r>
            <w:r>
              <w:t xml:space="preserve">18 to 74 years of age who had an outpatient visit and whose body mass index (BMI) was documented during the measurement </w:t>
            </w:r>
            <w:r w:rsidR="00A62572">
              <w:t xml:space="preserve">period </w:t>
            </w:r>
            <w:r>
              <w:t xml:space="preserve">or the </w:t>
            </w:r>
            <w:r w:rsidR="00A62572">
              <w:t>12-month period</w:t>
            </w:r>
            <w:r>
              <w:t xml:space="preserve"> prior to the measurement </w:t>
            </w:r>
            <w:r w:rsidR="00A62572">
              <w:t>period</w:t>
            </w:r>
            <w:r>
              <w:t>.</w:t>
            </w:r>
          </w:p>
        </w:tc>
      </w:tr>
      <w:tr w:rsidR="00AD706B" w14:paraId="1C1ED595" w14:textId="77777777" w:rsidTr="00A62572">
        <w:tc>
          <w:tcPr>
            <w:tcW w:w="2268" w:type="dxa"/>
          </w:tcPr>
          <w:p w14:paraId="1C1ED593" w14:textId="77777777" w:rsidR="00AD706B" w:rsidRPr="00717546" w:rsidRDefault="00AD706B" w:rsidP="00A374B8">
            <w:pPr>
              <w:pStyle w:val="NoSpacing"/>
              <w:rPr>
                <w:b/>
              </w:rPr>
            </w:pPr>
            <w:r w:rsidRPr="00717546">
              <w:rPr>
                <w:b/>
              </w:rPr>
              <w:t>NQF Number</w:t>
            </w:r>
          </w:p>
        </w:tc>
        <w:tc>
          <w:tcPr>
            <w:tcW w:w="7308" w:type="dxa"/>
          </w:tcPr>
          <w:p w14:paraId="1C1ED594" w14:textId="77777777" w:rsidR="00AD706B" w:rsidRDefault="009511CC" w:rsidP="00B05CBF">
            <w:pPr>
              <w:pStyle w:val="NoSpacing"/>
            </w:pPr>
            <w:r>
              <w:t>421</w:t>
            </w:r>
          </w:p>
        </w:tc>
      </w:tr>
      <w:tr w:rsidR="00AD706B" w14:paraId="1C1ED598" w14:textId="77777777" w:rsidTr="00A62572">
        <w:tc>
          <w:tcPr>
            <w:tcW w:w="2268" w:type="dxa"/>
          </w:tcPr>
          <w:p w14:paraId="1C1ED596" w14:textId="77777777" w:rsidR="00AD706B" w:rsidRPr="00717546" w:rsidRDefault="00AD706B" w:rsidP="00A374B8">
            <w:pPr>
              <w:pStyle w:val="NoSpacing"/>
              <w:rPr>
                <w:b/>
              </w:rPr>
            </w:pPr>
            <w:r>
              <w:rPr>
                <w:b/>
              </w:rPr>
              <w:t>Measure Steward</w:t>
            </w:r>
          </w:p>
        </w:tc>
        <w:tc>
          <w:tcPr>
            <w:tcW w:w="7308" w:type="dxa"/>
          </w:tcPr>
          <w:p w14:paraId="1C1ED597" w14:textId="77777777" w:rsidR="00AD706B" w:rsidRPr="00631E85" w:rsidRDefault="00366CC4" w:rsidP="00366CC4">
            <w:pPr>
              <w:pStyle w:val="NoSpacing"/>
            </w:pPr>
            <w:r w:rsidRPr="00366CC4">
              <w:t xml:space="preserve">Centers </w:t>
            </w:r>
            <w:r>
              <w:t>for</w:t>
            </w:r>
            <w:r w:rsidRPr="00366CC4">
              <w:t xml:space="preserve"> Medicare and Medicaid Services</w:t>
            </w:r>
          </w:p>
        </w:tc>
      </w:tr>
      <w:tr w:rsidR="00AD706B" w14:paraId="1C1ED59B" w14:textId="77777777" w:rsidTr="00A62572">
        <w:tc>
          <w:tcPr>
            <w:tcW w:w="2268" w:type="dxa"/>
          </w:tcPr>
          <w:p w14:paraId="1C1ED599" w14:textId="77777777" w:rsidR="00AD706B" w:rsidRDefault="00AD706B" w:rsidP="00A374B8">
            <w:pPr>
              <w:pStyle w:val="NoSpacing"/>
              <w:rPr>
                <w:b/>
              </w:rPr>
            </w:pPr>
            <w:r>
              <w:rPr>
                <w:b/>
              </w:rPr>
              <w:t>Link to measure citation</w:t>
            </w:r>
          </w:p>
        </w:tc>
        <w:tc>
          <w:tcPr>
            <w:tcW w:w="7308" w:type="dxa"/>
          </w:tcPr>
          <w:p w14:paraId="0CEA91F7" w14:textId="5DA3D5A2" w:rsidR="003704DC" w:rsidRDefault="003704DC" w:rsidP="00A374B8">
            <w:pPr>
              <w:pStyle w:val="NoSpacing"/>
            </w:pPr>
            <w:r w:rsidRPr="003704DC">
              <w:t>http://www.qualityforum.org/</w:t>
            </w:r>
          </w:p>
          <w:p w14:paraId="1C1ED59A" w14:textId="311C20FB" w:rsidR="00AD706B" w:rsidRPr="00631E85" w:rsidRDefault="004E5FFE" w:rsidP="00A374B8">
            <w:pPr>
              <w:pStyle w:val="NoSpacing"/>
            </w:pPr>
            <w:r w:rsidRPr="004E5FFE">
              <w:t>http://www.qualitymeasures.ahrq.gov/content.aspx?id=47123</w:t>
            </w:r>
          </w:p>
        </w:tc>
      </w:tr>
      <w:tr w:rsidR="00AD706B" w14:paraId="1C1ED59E" w14:textId="77777777" w:rsidTr="00A62572">
        <w:tc>
          <w:tcPr>
            <w:tcW w:w="2268" w:type="dxa"/>
          </w:tcPr>
          <w:p w14:paraId="1C1ED59C" w14:textId="77777777" w:rsidR="00AD706B" w:rsidRDefault="00AD706B" w:rsidP="00A374B8">
            <w:pPr>
              <w:pStyle w:val="NoSpacing"/>
              <w:rPr>
                <w:b/>
              </w:rPr>
            </w:pPr>
            <w:r>
              <w:rPr>
                <w:b/>
              </w:rPr>
              <w:t>Measure type</w:t>
            </w:r>
          </w:p>
        </w:tc>
        <w:tc>
          <w:tcPr>
            <w:tcW w:w="7308" w:type="dxa"/>
          </w:tcPr>
          <w:p w14:paraId="1C1ED59D" w14:textId="5C1D8918" w:rsidR="00AD706B" w:rsidRDefault="00550CFB" w:rsidP="00550CFB">
            <w:pPr>
              <w:pStyle w:val="NoSpacing"/>
            </w:pPr>
            <w:r>
              <w:t>Non-stand</w:t>
            </w:r>
            <w:r w:rsidR="00AD706B">
              <w:t>alone</w:t>
            </w:r>
            <w:r w:rsidR="00165D76">
              <w:t xml:space="preserve"> (</w:t>
            </w:r>
            <w:r>
              <w:t>N</w:t>
            </w:r>
            <w:r w:rsidR="00165D76">
              <w:t>SA)</w:t>
            </w:r>
          </w:p>
        </w:tc>
      </w:tr>
      <w:tr w:rsidR="004E5FFE" w14:paraId="1C1ED5A1" w14:textId="77777777" w:rsidTr="00A62572">
        <w:tc>
          <w:tcPr>
            <w:tcW w:w="2268" w:type="dxa"/>
          </w:tcPr>
          <w:p w14:paraId="1C1ED59F" w14:textId="1F2A1022" w:rsidR="004E5FFE" w:rsidRDefault="004E5FFE" w:rsidP="00A374B8">
            <w:pPr>
              <w:pStyle w:val="NoSpacing"/>
              <w:rPr>
                <w:b/>
              </w:rPr>
            </w:pPr>
            <w:r>
              <w:rPr>
                <w:b/>
              </w:rPr>
              <w:t>Performance and Achievement Type</w:t>
            </w:r>
          </w:p>
        </w:tc>
        <w:tc>
          <w:tcPr>
            <w:tcW w:w="7308" w:type="dxa"/>
          </w:tcPr>
          <w:p w14:paraId="7FC871AC" w14:textId="77777777" w:rsidR="004E5FFE" w:rsidRDefault="004E5FFE" w:rsidP="007D6148">
            <w:pPr>
              <w:pStyle w:val="NoSpacing"/>
            </w:pPr>
            <w:r>
              <w:t>Pay for Performance (P4P) - QSMIC</w:t>
            </w:r>
          </w:p>
          <w:tbl>
            <w:tblPr>
              <w:tblStyle w:val="TableGrid"/>
              <w:tblW w:w="0" w:type="auto"/>
              <w:tblLayout w:type="fixed"/>
              <w:tblLook w:val="04A0" w:firstRow="1" w:lastRow="0" w:firstColumn="1" w:lastColumn="0" w:noHBand="0" w:noVBand="1"/>
            </w:tblPr>
            <w:tblGrid>
              <w:gridCol w:w="1880"/>
              <w:gridCol w:w="1060"/>
              <w:gridCol w:w="1846"/>
              <w:gridCol w:w="1846"/>
            </w:tblGrid>
            <w:tr w:rsidR="004E5FFE" w14:paraId="0A080277" w14:textId="77777777" w:rsidTr="007D6148">
              <w:tc>
                <w:tcPr>
                  <w:tcW w:w="1880" w:type="dxa"/>
                </w:tcPr>
                <w:p w14:paraId="47BDD915" w14:textId="77777777" w:rsidR="004E5FFE" w:rsidRPr="00791AAE" w:rsidRDefault="004E5FFE" w:rsidP="007D6148">
                  <w:pPr>
                    <w:pStyle w:val="NoSpacing"/>
                    <w:jc w:val="center"/>
                  </w:pPr>
                </w:p>
              </w:tc>
              <w:tc>
                <w:tcPr>
                  <w:tcW w:w="1060" w:type="dxa"/>
                </w:tcPr>
                <w:p w14:paraId="593DCF5F" w14:textId="77777777" w:rsidR="004E5FFE" w:rsidRPr="00791AAE" w:rsidRDefault="004E5FFE" w:rsidP="007D6148">
                  <w:pPr>
                    <w:pStyle w:val="NoSpacing"/>
                    <w:jc w:val="center"/>
                  </w:pPr>
                  <w:r>
                    <w:t>Baseline</w:t>
                  </w:r>
                </w:p>
              </w:tc>
              <w:tc>
                <w:tcPr>
                  <w:tcW w:w="1846" w:type="dxa"/>
                </w:tcPr>
                <w:p w14:paraId="33495A10" w14:textId="77777777" w:rsidR="004E5FFE" w:rsidRPr="00791AAE" w:rsidRDefault="004E5FFE" w:rsidP="007D6148">
                  <w:pPr>
                    <w:pStyle w:val="NoSpacing"/>
                    <w:jc w:val="center"/>
                  </w:pPr>
                  <w:r w:rsidRPr="00791AAE">
                    <w:t>DY4</w:t>
                  </w:r>
                </w:p>
                <w:p w14:paraId="2010D688" w14:textId="77777777" w:rsidR="004E5FFE" w:rsidRPr="00791AAE" w:rsidRDefault="004E5FFE" w:rsidP="007D6148">
                  <w:pPr>
                    <w:pStyle w:val="NoSpacing"/>
                    <w:jc w:val="center"/>
                  </w:pPr>
                </w:p>
              </w:tc>
              <w:tc>
                <w:tcPr>
                  <w:tcW w:w="1846" w:type="dxa"/>
                </w:tcPr>
                <w:p w14:paraId="4102D428" w14:textId="77777777" w:rsidR="004E5FFE" w:rsidRPr="00791AAE" w:rsidRDefault="004E5FFE" w:rsidP="007D6148">
                  <w:pPr>
                    <w:pStyle w:val="NoSpacing"/>
                    <w:jc w:val="center"/>
                  </w:pPr>
                  <w:r w:rsidRPr="00791AAE">
                    <w:t>DY5</w:t>
                  </w:r>
                </w:p>
                <w:p w14:paraId="2491D794" w14:textId="77777777" w:rsidR="004E5FFE" w:rsidRPr="00791AAE" w:rsidRDefault="004E5FFE" w:rsidP="007D6148">
                  <w:pPr>
                    <w:pStyle w:val="NoSpacing"/>
                    <w:jc w:val="center"/>
                  </w:pPr>
                </w:p>
              </w:tc>
            </w:tr>
            <w:tr w:rsidR="004E5FFE" w14:paraId="7F7D571E" w14:textId="77777777" w:rsidTr="007D6148">
              <w:tc>
                <w:tcPr>
                  <w:tcW w:w="1880" w:type="dxa"/>
                  <w:vMerge w:val="restart"/>
                </w:tcPr>
                <w:p w14:paraId="70533D75" w14:textId="77777777" w:rsidR="004E5FFE" w:rsidRPr="00791AAE" w:rsidRDefault="004E5FFE" w:rsidP="007D6148">
                  <w:pPr>
                    <w:pStyle w:val="NoSpacing"/>
                    <w:jc w:val="center"/>
                  </w:pPr>
                  <w:r>
                    <w:t>Achievement Level Calculations</w:t>
                  </w:r>
                </w:p>
                <w:p w14:paraId="4469B47B" w14:textId="77777777" w:rsidR="004E5FFE" w:rsidRPr="00791AAE" w:rsidRDefault="004E5FFE" w:rsidP="007D6148">
                  <w:pPr>
                    <w:pStyle w:val="NoSpacing"/>
                    <w:jc w:val="center"/>
                  </w:pPr>
                </w:p>
              </w:tc>
              <w:tc>
                <w:tcPr>
                  <w:tcW w:w="1060" w:type="dxa"/>
                </w:tcPr>
                <w:p w14:paraId="263D99A5" w14:textId="77777777" w:rsidR="004E5FFE" w:rsidRDefault="004E5FFE" w:rsidP="007D6148">
                  <w:pPr>
                    <w:pStyle w:val="NoSpacing"/>
                    <w:jc w:val="center"/>
                  </w:pPr>
                  <w:r>
                    <w:t>Baseline below MPL</w:t>
                  </w:r>
                </w:p>
              </w:tc>
              <w:tc>
                <w:tcPr>
                  <w:tcW w:w="1846" w:type="dxa"/>
                </w:tcPr>
                <w:p w14:paraId="243C02F2" w14:textId="77777777" w:rsidR="004E5FFE" w:rsidRPr="00791AAE" w:rsidRDefault="004E5FFE" w:rsidP="007D6148">
                  <w:pPr>
                    <w:pStyle w:val="NoSpacing"/>
                    <w:jc w:val="center"/>
                  </w:pPr>
                  <w:r w:rsidRPr="00F2515D">
                    <w:t>MPL</w:t>
                  </w:r>
                </w:p>
              </w:tc>
              <w:tc>
                <w:tcPr>
                  <w:tcW w:w="1846" w:type="dxa"/>
                </w:tcPr>
                <w:p w14:paraId="2D49B3A4" w14:textId="77777777" w:rsidR="004E5FFE" w:rsidRPr="00791AAE" w:rsidRDefault="004E5FFE" w:rsidP="007D6148">
                  <w:pPr>
                    <w:pStyle w:val="NoSpacing"/>
                    <w:jc w:val="center"/>
                  </w:pPr>
                  <w:r w:rsidRPr="00F2515D">
                    <w:t xml:space="preserve">MPL </w:t>
                  </w:r>
                  <w:r>
                    <w:t>+</w:t>
                  </w:r>
                  <w:r w:rsidRPr="00F2515D">
                    <w:t xml:space="preserve"> 10%* (HPL-MPL)</w:t>
                  </w:r>
                </w:p>
              </w:tc>
            </w:tr>
            <w:tr w:rsidR="004E5FFE" w14:paraId="40D56FD9" w14:textId="77777777" w:rsidTr="007D6148">
              <w:tc>
                <w:tcPr>
                  <w:tcW w:w="1880" w:type="dxa"/>
                  <w:vMerge/>
                </w:tcPr>
                <w:p w14:paraId="0684111D" w14:textId="77777777" w:rsidR="004E5FFE" w:rsidRPr="00791AAE" w:rsidRDefault="004E5FFE" w:rsidP="007D6148">
                  <w:pPr>
                    <w:pStyle w:val="NoSpacing"/>
                    <w:jc w:val="center"/>
                  </w:pPr>
                </w:p>
              </w:tc>
              <w:tc>
                <w:tcPr>
                  <w:tcW w:w="1060" w:type="dxa"/>
                </w:tcPr>
                <w:p w14:paraId="139138B7" w14:textId="77777777" w:rsidR="004E5FFE" w:rsidRDefault="004E5FFE" w:rsidP="007D6148">
                  <w:pPr>
                    <w:pStyle w:val="NoSpacing"/>
                    <w:jc w:val="center"/>
                  </w:pPr>
                  <w:r>
                    <w:t>Baseline above MPL</w:t>
                  </w:r>
                </w:p>
              </w:tc>
              <w:tc>
                <w:tcPr>
                  <w:tcW w:w="1846" w:type="dxa"/>
                </w:tcPr>
                <w:p w14:paraId="45397A47" w14:textId="77777777" w:rsidR="004E5FFE" w:rsidRPr="00791AAE" w:rsidRDefault="004E5FFE" w:rsidP="007D6148">
                  <w:pPr>
                    <w:pStyle w:val="NoSpacing"/>
                    <w:jc w:val="center"/>
                  </w:pPr>
                  <w:r>
                    <w:t>B</w:t>
                  </w:r>
                  <w:r w:rsidRPr="00BD6219">
                    <w:t xml:space="preserve">aseline </w:t>
                  </w:r>
                  <w:r>
                    <w:t>+</w:t>
                  </w:r>
                  <w:r w:rsidRPr="00BD6219">
                    <w:t xml:space="preserve"> 10%*(HPL - </w:t>
                  </w:r>
                  <w:r>
                    <w:t>B</w:t>
                  </w:r>
                  <w:r w:rsidRPr="00BD6219">
                    <w:t>aseline)</w:t>
                  </w:r>
                </w:p>
              </w:tc>
              <w:tc>
                <w:tcPr>
                  <w:tcW w:w="1846" w:type="dxa"/>
                </w:tcPr>
                <w:p w14:paraId="4914DFAB" w14:textId="77777777" w:rsidR="004E5FFE" w:rsidRPr="00791AAE" w:rsidRDefault="004E5FFE" w:rsidP="007D6148">
                  <w:pPr>
                    <w:pStyle w:val="NoSpacing"/>
                    <w:jc w:val="center"/>
                  </w:pPr>
                  <w:r>
                    <w:t>B</w:t>
                  </w:r>
                  <w:r w:rsidRPr="00155143">
                    <w:t xml:space="preserve">aseline </w:t>
                  </w:r>
                  <w:r>
                    <w:t>+</w:t>
                  </w:r>
                  <w:r w:rsidRPr="00155143">
                    <w:t xml:space="preserve"> 20%*(HPL - </w:t>
                  </w:r>
                  <w:r>
                    <w:t>B</w:t>
                  </w:r>
                  <w:r w:rsidRPr="00155143">
                    <w:t>aseline)</w:t>
                  </w:r>
                </w:p>
              </w:tc>
            </w:tr>
          </w:tbl>
          <w:p w14:paraId="1C1ED5A0" w14:textId="2BB99EC0" w:rsidR="004E5FFE" w:rsidRDefault="004E5FFE" w:rsidP="00967948">
            <w:pPr>
              <w:pStyle w:val="NoSpacing"/>
            </w:pPr>
          </w:p>
        </w:tc>
      </w:tr>
      <w:tr w:rsidR="004E5FFE" w14:paraId="3593C3AE" w14:textId="77777777" w:rsidTr="00A62572">
        <w:tc>
          <w:tcPr>
            <w:tcW w:w="2268" w:type="dxa"/>
          </w:tcPr>
          <w:p w14:paraId="5919FED2" w14:textId="5730B1AC" w:rsidR="004E5FFE" w:rsidRDefault="004E5FFE" w:rsidP="00A374B8">
            <w:pPr>
              <w:pStyle w:val="NoSpacing"/>
              <w:rPr>
                <w:b/>
              </w:rPr>
            </w:pPr>
            <w:r>
              <w:rPr>
                <w:b/>
              </w:rPr>
              <w:t>Benchmark Description</w:t>
            </w:r>
          </w:p>
        </w:tc>
        <w:tc>
          <w:tcPr>
            <w:tcW w:w="7308" w:type="dxa"/>
          </w:tcPr>
          <w:tbl>
            <w:tblPr>
              <w:tblStyle w:val="TableGrid"/>
              <w:tblW w:w="6637" w:type="dxa"/>
              <w:tblLayout w:type="fixed"/>
              <w:tblLook w:val="04A0" w:firstRow="1" w:lastRow="0" w:firstColumn="1" w:lastColumn="0" w:noHBand="0" w:noVBand="1"/>
            </w:tblPr>
            <w:tblGrid>
              <w:gridCol w:w="3397"/>
              <w:gridCol w:w="3230"/>
              <w:gridCol w:w="10"/>
            </w:tblGrid>
            <w:tr w:rsidR="004E5FFE" w14:paraId="299008EC" w14:textId="77777777" w:rsidTr="007D6148">
              <w:trPr>
                <w:gridAfter w:val="1"/>
                <w:wAfter w:w="10" w:type="dxa"/>
              </w:trPr>
              <w:tc>
                <w:tcPr>
                  <w:tcW w:w="6627" w:type="dxa"/>
                  <w:gridSpan w:val="2"/>
                </w:tcPr>
                <w:p w14:paraId="021CE529" w14:textId="511C573E" w:rsidR="004E5FFE" w:rsidRPr="00791AAE" w:rsidRDefault="004E5FFE" w:rsidP="008B2864">
                  <w:pPr>
                    <w:pStyle w:val="NoSpacing"/>
                    <w:jc w:val="center"/>
                  </w:pPr>
                  <w:r>
                    <w:t>NCQA Quality Compass</w:t>
                  </w:r>
                </w:p>
              </w:tc>
            </w:tr>
            <w:tr w:rsidR="004E5FFE" w14:paraId="4A453989" w14:textId="77777777" w:rsidTr="007D6148">
              <w:tc>
                <w:tcPr>
                  <w:tcW w:w="3397" w:type="dxa"/>
                </w:tcPr>
                <w:p w14:paraId="15B313F7" w14:textId="77777777" w:rsidR="004E5FFE" w:rsidRPr="00791AAE" w:rsidRDefault="004E5FFE" w:rsidP="007D6148">
                  <w:pPr>
                    <w:pStyle w:val="NoSpacing"/>
                    <w:jc w:val="center"/>
                  </w:pPr>
                  <w:r w:rsidRPr="00791AAE">
                    <w:t>HPL (90</w:t>
                  </w:r>
                  <w:r w:rsidRPr="00537ED7">
                    <w:rPr>
                      <w:vertAlign w:val="superscript"/>
                    </w:rPr>
                    <w:t>th</w:t>
                  </w:r>
                  <w:r w:rsidRPr="00791AAE">
                    <w:t xml:space="preserve"> Percentile)</w:t>
                  </w:r>
                </w:p>
              </w:tc>
              <w:tc>
                <w:tcPr>
                  <w:tcW w:w="3240" w:type="dxa"/>
                  <w:gridSpan w:val="2"/>
                </w:tcPr>
                <w:p w14:paraId="1211A720" w14:textId="5789AD68" w:rsidR="004E5FFE" w:rsidRPr="00791AAE" w:rsidRDefault="004E5FFE" w:rsidP="003704DC">
                  <w:pPr>
                    <w:pStyle w:val="NoSpacing"/>
                    <w:jc w:val="center"/>
                  </w:pPr>
                  <w:r w:rsidRPr="00C91245">
                    <w:t>7</w:t>
                  </w:r>
                  <w:r w:rsidR="002E77D1">
                    <w:t>7</w:t>
                  </w:r>
                  <w:r w:rsidRPr="00C91245">
                    <w:t>.</w:t>
                  </w:r>
                  <w:r w:rsidR="003704DC">
                    <w:t>39</w:t>
                  </w:r>
                  <w:r>
                    <w:t>%</w:t>
                  </w:r>
                </w:p>
              </w:tc>
            </w:tr>
            <w:tr w:rsidR="004E5FFE" w14:paraId="6541E7E0" w14:textId="77777777" w:rsidTr="007D6148">
              <w:tc>
                <w:tcPr>
                  <w:tcW w:w="3397" w:type="dxa"/>
                </w:tcPr>
                <w:p w14:paraId="5CBD1E79" w14:textId="77777777" w:rsidR="004E5FFE" w:rsidRPr="00791AAE" w:rsidRDefault="004E5FFE" w:rsidP="007D6148">
                  <w:pPr>
                    <w:pStyle w:val="NoSpacing"/>
                    <w:jc w:val="center"/>
                  </w:pPr>
                  <w:r>
                    <w:t>MPL (25</w:t>
                  </w:r>
                  <w:r w:rsidRPr="00791AAE">
                    <w:rPr>
                      <w:vertAlign w:val="superscript"/>
                    </w:rPr>
                    <w:t>th</w:t>
                  </w:r>
                  <w:r w:rsidRPr="00791AAE">
                    <w:t xml:space="preserve"> Percentile)</w:t>
                  </w:r>
                  <w:r>
                    <w:t xml:space="preserve"> or 10</w:t>
                  </w:r>
                  <w:r w:rsidRPr="00283705">
                    <w:rPr>
                      <w:vertAlign w:val="superscript"/>
                    </w:rPr>
                    <w:t>th</w:t>
                  </w:r>
                  <w:r>
                    <w:t xml:space="preserve"> if applicable</w:t>
                  </w:r>
                </w:p>
              </w:tc>
              <w:tc>
                <w:tcPr>
                  <w:tcW w:w="3240" w:type="dxa"/>
                  <w:gridSpan w:val="2"/>
                </w:tcPr>
                <w:p w14:paraId="5E4702C3" w14:textId="472EDF1A" w:rsidR="004E5FFE" w:rsidRPr="00791AAE" w:rsidRDefault="003704DC" w:rsidP="003704DC">
                  <w:pPr>
                    <w:pStyle w:val="NoSpacing"/>
                    <w:jc w:val="center"/>
                  </w:pPr>
                  <w:r>
                    <w:t>46</w:t>
                  </w:r>
                  <w:r w:rsidR="004E5FFE" w:rsidRPr="00C91245">
                    <w:t>.</w:t>
                  </w:r>
                  <w:r>
                    <w:t>90</w:t>
                  </w:r>
                  <w:r w:rsidR="004E5FFE">
                    <w:t>%</w:t>
                  </w:r>
                </w:p>
              </w:tc>
            </w:tr>
          </w:tbl>
          <w:p w14:paraId="5551937B" w14:textId="77777777" w:rsidR="004E5FFE" w:rsidRDefault="004E5FFE" w:rsidP="00967948">
            <w:pPr>
              <w:pStyle w:val="NoSpacing"/>
            </w:pPr>
          </w:p>
        </w:tc>
      </w:tr>
      <w:tr w:rsidR="00AD706B" w14:paraId="1C1ED5A6" w14:textId="77777777" w:rsidTr="00A62572">
        <w:tc>
          <w:tcPr>
            <w:tcW w:w="2268" w:type="dxa"/>
          </w:tcPr>
          <w:p w14:paraId="1C1ED5A2" w14:textId="77777777" w:rsidR="00AD706B" w:rsidRPr="00717546" w:rsidRDefault="00AD706B" w:rsidP="00A374B8">
            <w:pPr>
              <w:pStyle w:val="NoSpacing"/>
              <w:rPr>
                <w:b/>
              </w:rPr>
            </w:pPr>
            <w:r>
              <w:rPr>
                <w:b/>
              </w:rPr>
              <w:t>DSRIP-specific modifications to Measure Steward’s specification</w:t>
            </w:r>
          </w:p>
        </w:tc>
        <w:tc>
          <w:tcPr>
            <w:tcW w:w="7308" w:type="dxa"/>
          </w:tcPr>
          <w:p w14:paraId="1C1ED5A3" w14:textId="77777777" w:rsidR="009F78A7" w:rsidRDefault="009F78A7" w:rsidP="009F78A7">
            <w:pPr>
              <w:pStyle w:val="NoSpacing"/>
            </w:pPr>
            <w:r>
              <w:t>The Measure Steward’s specification has been modified as follows:</w:t>
            </w:r>
          </w:p>
          <w:p w14:paraId="3DED1946" w14:textId="77777777" w:rsidR="00741FE7" w:rsidRDefault="009F78A7" w:rsidP="005F5A45">
            <w:pPr>
              <w:pStyle w:val="NoSpacing"/>
              <w:numPr>
                <w:ilvl w:val="0"/>
                <w:numId w:val="9"/>
              </w:numPr>
            </w:pPr>
            <w:r w:rsidRPr="00C619EF">
              <w:t>Replac</w:t>
            </w:r>
            <w:r>
              <w:t>ed term "member" with "patient"</w:t>
            </w:r>
            <w:r w:rsidRPr="00C619EF">
              <w:t xml:space="preserve"> </w:t>
            </w:r>
          </w:p>
          <w:p w14:paraId="1C1ED5A4" w14:textId="1F89F44D" w:rsidR="009F78A7" w:rsidRDefault="00741FE7" w:rsidP="00741FE7">
            <w:pPr>
              <w:pStyle w:val="NoSpacing"/>
              <w:numPr>
                <w:ilvl w:val="0"/>
                <w:numId w:val="9"/>
              </w:numPr>
            </w:pPr>
            <w:r>
              <w:t>R</w:t>
            </w:r>
            <w:r w:rsidR="00A62572">
              <w:t>emoved</w:t>
            </w:r>
            <w:r>
              <w:t xml:space="preserve"> language</w:t>
            </w:r>
            <w:r w:rsidR="005F5A45" w:rsidRPr="009C59FA">
              <w:t xml:space="preserve"> in denomin</w:t>
            </w:r>
            <w:r>
              <w:t>ator inclusions sections relating</w:t>
            </w:r>
            <w:r w:rsidR="005F5A45" w:rsidRPr="009C59FA">
              <w:t xml:space="preserve"> to c</w:t>
            </w:r>
            <w:r>
              <w:t xml:space="preserve">ontinuous enrollment of members and instead included requirement that patients have at least </w:t>
            </w:r>
            <w:r w:rsidRPr="00741FE7">
              <w:t>at least 1 encounter in the prior 12-month period before the measurement period</w:t>
            </w:r>
            <w:r>
              <w:t>.</w:t>
            </w:r>
          </w:p>
          <w:p w14:paraId="1C1ED5A5" w14:textId="77777777" w:rsidR="009C59FA" w:rsidRDefault="009C59FA" w:rsidP="00316E9F">
            <w:pPr>
              <w:pStyle w:val="NoSpacing"/>
              <w:numPr>
                <w:ilvl w:val="0"/>
                <w:numId w:val="9"/>
              </w:numPr>
            </w:pPr>
            <w:r>
              <w:t>Deleted reference</w:t>
            </w:r>
            <w:r w:rsidR="00316E9F">
              <w:t>s</w:t>
            </w:r>
            <w:r>
              <w:t xml:space="preserve"> to table</w:t>
            </w:r>
            <w:r w:rsidR="00316E9F">
              <w:t>s</w:t>
            </w:r>
            <w:r>
              <w:t xml:space="preserve"> not included in the document from the numerator inclusions section.</w:t>
            </w:r>
          </w:p>
        </w:tc>
      </w:tr>
      <w:tr w:rsidR="00AD706B" w14:paraId="1C1ED5A9" w14:textId="77777777" w:rsidTr="00A62572">
        <w:tc>
          <w:tcPr>
            <w:tcW w:w="2268" w:type="dxa"/>
          </w:tcPr>
          <w:p w14:paraId="1C1ED5A7" w14:textId="77777777" w:rsidR="00AD706B" w:rsidRPr="00717546" w:rsidRDefault="00AD706B" w:rsidP="001D6BEA">
            <w:pPr>
              <w:pStyle w:val="NoSpacing"/>
              <w:rPr>
                <w:b/>
              </w:rPr>
            </w:pPr>
            <w:r w:rsidRPr="00717546">
              <w:rPr>
                <w:b/>
              </w:rPr>
              <w:t>Denominator</w:t>
            </w:r>
            <w:r w:rsidR="00C01E6F">
              <w:rPr>
                <w:b/>
              </w:rPr>
              <w:t xml:space="preserve"> </w:t>
            </w:r>
            <w:r w:rsidR="00B05CBF">
              <w:rPr>
                <w:b/>
              </w:rPr>
              <w:t>Description</w:t>
            </w:r>
            <w:r w:rsidR="00C01E6F">
              <w:rPr>
                <w:b/>
              </w:rPr>
              <w:t xml:space="preserve"> </w:t>
            </w:r>
          </w:p>
        </w:tc>
        <w:tc>
          <w:tcPr>
            <w:tcW w:w="7308" w:type="dxa"/>
          </w:tcPr>
          <w:p w14:paraId="1C1ED5A8" w14:textId="6C4D199E" w:rsidR="00AD706B" w:rsidRPr="009F7E66" w:rsidRDefault="00A62572" w:rsidP="002E77D1">
            <w:pPr>
              <w:pStyle w:val="NoSpacing"/>
            </w:pPr>
            <w:r>
              <w:t>Patients</w:t>
            </w:r>
            <w:r w:rsidR="005F5A45" w:rsidRPr="005F5A45">
              <w:t xml:space="preserve"> age 18 years as of </w:t>
            </w:r>
            <w:r>
              <w:t>the first day</w:t>
            </w:r>
            <w:r w:rsidR="005F5A45" w:rsidRPr="005F5A45">
              <w:t xml:space="preserve"> of the </w:t>
            </w:r>
            <w:r>
              <w:t>12-month period</w:t>
            </w:r>
            <w:r w:rsidR="005F5A45" w:rsidRPr="005F5A45">
              <w:t xml:space="preserve"> prior to the measurement </w:t>
            </w:r>
            <w:r>
              <w:t>period</w:t>
            </w:r>
            <w:r w:rsidR="005F5A45" w:rsidRPr="005F5A45">
              <w:t xml:space="preserve"> to 74 years as of </w:t>
            </w:r>
            <w:r>
              <w:t>last day</w:t>
            </w:r>
            <w:r w:rsidR="005F5A45" w:rsidRPr="005F5A45">
              <w:t xml:space="preserve"> of the measurement </w:t>
            </w:r>
            <w:r>
              <w:t>period</w:t>
            </w:r>
            <w:r w:rsidR="005F5A45" w:rsidRPr="005F5A45">
              <w:t xml:space="preserve"> who had an outpatient visit during the measurement </w:t>
            </w:r>
            <w:r>
              <w:t>period</w:t>
            </w:r>
            <w:r w:rsidR="005F5A45" w:rsidRPr="005F5A45">
              <w:t xml:space="preserve"> or the </w:t>
            </w:r>
            <w:r>
              <w:t>12-month period</w:t>
            </w:r>
            <w:r w:rsidR="005F5A45" w:rsidRPr="005F5A45">
              <w:t xml:space="preserve"> prior to the measurement </w:t>
            </w:r>
            <w:r>
              <w:t>period</w:t>
            </w:r>
          </w:p>
        </w:tc>
      </w:tr>
      <w:tr w:rsidR="005F5A45" w14:paraId="1C1ED5B0" w14:textId="77777777" w:rsidTr="00A62572">
        <w:trPr>
          <w:trHeight w:val="728"/>
        </w:trPr>
        <w:tc>
          <w:tcPr>
            <w:tcW w:w="2268" w:type="dxa"/>
          </w:tcPr>
          <w:p w14:paraId="1C1ED5AA" w14:textId="77777777" w:rsidR="005F5A45" w:rsidRPr="00717546" w:rsidRDefault="005F5A45" w:rsidP="00C01E6F">
            <w:pPr>
              <w:pStyle w:val="NoSpacing"/>
              <w:rPr>
                <w:b/>
              </w:rPr>
            </w:pPr>
            <w:r>
              <w:rPr>
                <w:b/>
              </w:rPr>
              <w:t>Denominator Inclusions</w:t>
            </w:r>
          </w:p>
        </w:tc>
        <w:tc>
          <w:tcPr>
            <w:tcW w:w="7308" w:type="dxa"/>
          </w:tcPr>
          <w:p w14:paraId="1C1ED5AF" w14:textId="7A12A0D8" w:rsidR="005F5A45" w:rsidRPr="00B12004" w:rsidRDefault="00741FE7" w:rsidP="00B02C0D">
            <w:pPr>
              <w:pStyle w:val="NoSpacing"/>
            </w:pPr>
            <w:r>
              <w:t xml:space="preserve">Patient must have </w:t>
            </w:r>
            <w:r w:rsidRPr="00741FE7">
              <w:t>at least 1 encounter in the prior 12-month period</w:t>
            </w:r>
            <w:r>
              <w:t xml:space="preserve"> before the measurement period.</w:t>
            </w:r>
            <w:r w:rsidR="005F5A45" w:rsidRPr="00B12004">
              <w:t xml:space="preserve"> </w:t>
            </w:r>
          </w:p>
        </w:tc>
      </w:tr>
      <w:tr w:rsidR="005F5A45" w14:paraId="1C1ED5BD" w14:textId="77777777" w:rsidTr="00A62572">
        <w:trPr>
          <w:trHeight w:val="710"/>
        </w:trPr>
        <w:tc>
          <w:tcPr>
            <w:tcW w:w="2268" w:type="dxa"/>
          </w:tcPr>
          <w:p w14:paraId="1C1ED5B1" w14:textId="77777777" w:rsidR="005F5A45" w:rsidRPr="00717546" w:rsidRDefault="005F5A45" w:rsidP="00C01E6F">
            <w:pPr>
              <w:pStyle w:val="NoSpacing"/>
              <w:rPr>
                <w:b/>
              </w:rPr>
            </w:pPr>
            <w:r>
              <w:rPr>
                <w:b/>
              </w:rPr>
              <w:t>Denominator Exclusions</w:t>
            </w:r>
          </w:p>
        </w:tc>
        <w:tc>
          <w:tcPr>
            <w:tcW w:w="7308" w:type="dxa"/>
          </w:tcPr>
          <w:p w14:paraId="1C1ED5B3" w14:textId="77777777" w:rsidR="005F5A45" w:rsidRDefault="005F5A45" w:rsidP="005F5A45">
            <w:r>
              <w:t xml:space="preserve">• Documentation of medical reason(s) for not having a BMI measurement performed during the measurement period (e.g., patient is receiving palliative care, patient is pregnant or patient is in an urgent or emergent medical situation where time is of the essence and to delay treatment would </w:t>
            </w:r>
            <w:r>
              <w:lastRenderedPageBreak/>
              <w:t>jeopardize the patient’s health status)</w:t>
            </w:r>
          </w:p>
          <w:p w14:paraId="1C1ED5BC" w14:textId="7AF00621" w:rsidR="005F5A45" w:rsidRPr="00B12004" w:rsidRDefault="005F5A45" w:rsidP="003704DC">
            <w:r>
              <w:t>• Documentation of patient reason(s) for not having a BMI measurement performed during the measurement period (e.g., patient refuses BMI measurement or if there is any other reason documented in the medical record by the provider explaining why BMI measurement was not appropriate)</w:t>
            </w:r>
          </w:p>
        </w:tc>
      </w:tr>
      <w:tr w:rsidR="00D63CD3" w14:paraId="1C1ED5C3" w14:textId="77777777" w:rsidTr="00A62572">
        <w:tc>
          <w:tcPr>
            <w:tcW w:w="2268" w:type="dxa"/>
          </w:tcPr>
          <w:p w14:paraId="1C1ED5BE" w14:textId="77777777" w:rsidR="00D63CD3" w:rsidRDefault="00D63CD3" w:rsidP="00AF103E">
            <w:pPr>
              <w:pStyle w:val="NoSpacing"/>
              <w:rPr>
                <w:b/>
              </w:rPr>
            </w:pPr>
            <w:r>
              <w:rPr>
                <w:b/>
              </w:rPr>
              <w:lastRenderedPageBreak/>
              <w:t>Denominator Size</w:t>
            </w:r>
          </w:p>
        </w:tc>
        <w:tc>
          <w:tcPr>
            <w:tcW w:w="7308" w:type="dxa"/>
          </w:tcPr>
          <w:p w14:paraId="1C1ED5BF" w14:textId="77777777" w:rsidR="00D63CD3" w:rsidRDefault="00D63CD3" w:rsidP="00D63CD3">
            <w:pPr>
              <w:pStyle w:val="NoSpacing"/>
            </w:pPr>
            <w:r>
              <w:t>Providers</w:t>
            </w:r>
            <w:r w:rsidRPr="00D63CD3">
              <w:t xml:space="preserve"> must report a </w:t>
            </w:r>
            <w:r w:rsidR="0011709A">
              <w:t>minimum of 3</w:t>
            </w:r>
            <w:r w:rsidR="0032246B">
              <w:t xml:space="preserve">0 cases per measure during a </w:t>
            </w:r>
            <w:r w:rsidR="0011709A">
              <w:t>12-month measurement period (15 cases for a 6-month measurement period)</w:t>
            </w:r>
          </w:p>
          <w:p w14:paraId="1C1ED5C0" w14:textId="77777777" w:rsidR="0032246B" w:rsidRDefault="0032246B" w:rsidP="0032246B">
            <w:pPr>
              <w:pStyle w:val="NoSpacing"/>
              <w:numPr>
                <w:ilvl w:val="0"/>
                <w:numId w:val="8"/>
              </w:numPr>
            </w:pPr>
            <w:r>
              <w:t xml:space="preserve">For a measurement period </w:t>
            </w:r>
            <w:r w:rsidR="003A409E">
              <w:t xml:space="preserve">(either 6 or 12 </w:t>
            </w:r>
            <w:r w:rsidR="0011709A">
              <w:t xml:space="preserve">months) where the </w:t>
            </w:r>
            <w:r>
              <w:t>denominator size is less than or equal to 75, providers must report on all cases. No sampling is allowed.</w:t>
            </w:r>
          </w:p>
          <w:p w14:paraId="1C1ED5C1" w14:textId="77777777" w:rsidR="0032246B" w:rsidRDefault="0032246B" w:rsidP="0032246B">
            <w:pPr>
              <w:pStyle w:val="NoSpacing"/>
              <w:numPr>
                <w:ilvl w:val="0"/>
                <w:numId w:val="8"/>
              </w:numPr>
            </w:pPr>
            <w:r>
              <w:t xml:space="preserve">For a measurement period </w:t>
            </w:r>
            <w:r w:rsidR="003A409E">
              <w:t xml:space="preserve">(either 6 or 12 </w:t>
            </w:r>
            <w:r w:rsidR="0011709A">
              <w:t xml:space="preserve">months) where the </w:t>
            </w:r>
            <w:r>
              <w:t xml:space="preserve">denominator size is less than or equal to 380 but greater than 75, providers must report on </w:t>
            </w:r>
            <w:r w:rsidR="003A409E">
              <w:t xml:space="preserve">all cases (preferred, particularly for providers using an electronic health record) or </w:t>
            </w:r>
            <w:r>
              <w:t>a random sample of not less than 76 cases.</w:t>
            </w:r>
          </w:p>
          <w:p w14:paraId="1C1ED5C2" w14:textId="517E864A" w:rsidR="0032246B" w:rsidRPr="001D6BEA" w:rsidRDefault="0032246B" w:rsidP="00DE0219">
            <w:pPr>
              <w:pStyle w:val="NoSpacing"/>
              <w:numPr>
                <w:ilvl w:val="0"/>
                <w:numId w:val="8"/>
              </w:numPr>
            </w:pPr>
            <w:r>
              <w:t xml:space="preserve">For a measurement period </w:t>
            </w:r>
            <w:r w:rsidR="0011709A">
              <w:t>(either 6 or 12-months) where the denominator size</w:t>
            </w:r>
            <w:r>
              <w:t xml:space="preserve"> is greater than </w:t>
            </w:r>
            <w:r w:rsidR="00DE0219">
              <w:t>380</w:t>
            </w:r>
            <w:r>
              <w:t xml:space="preserve">, providers must report on </w:t>
            </w:r>
            <w:r w:rsidR="003A409E">
              <w:t xml:space="preserve">all cases (preferred, particularly for providers using an electronic health record) or </w:t>
            </w:r>
            <w:r>
              <w:t xml:space="preserve">a random sample of cases that is not less than 20% of all cases; however, providers may cap the </w:t>
            </w:r>
            <w:r w:rsidR="0011709A">
              <w:t xml:space="preserve">total </w:t>
            </w:r>
            <w:r>
              <w:t xml:space="preserve">sample size at 300 cases. </w:t>
            </w:r>
          </w:p>
        </w:tc>
      </w:tr>
      <w:tr w:rsidR="00AC3A97" w14:paraId="1C1ED5D1" w14:textId="77777777" w:rsidTr="00A62572">
        <w:tc>
          <w:tcPr>
            <w:tcW w:w="2268" w:type="dxa"/>
          </w:tcPr>
          <w:p w14:paraId="1C1ED5C4" w14:textId="77777777" w:rsidR="00AC3A97" w:rsidRPr="00717546" w:rsidRDefault="00AC3A97" w:rsidP="00AF103E">
            <w:pPr>
              <w:pStyle w:val="NoSpacing"/>
              <w:rPr>
                <w:b/>
              </w:rPr>
            </w:pPr>
            <w:r>
              <w:rPr>
                <w:b/>
              </w:rPr>
              <w:t xml:space="preserve">Numerator Description </w:t>
            </w:r>
          </w:p>
        </w:tc>
        <w:tc>
          <w:tcPr>
            <w:tcW w:w="7308" w:type="dxa"/>
          </w:tcPr>
          <w:p w14:paraId="1C1ED5C7" w14:textId="77777777" w:rsidR="00D44910" w:rsidRDefault="00D44910" w:rsidP="00D44910">
            <w:pPr>
              <w:pStyle w:val="NoSpacing"/>
            </w:pPr>
            <w:proofErr w:type="gramStart"/>
            <w:r>
              <w:t>Patients with BMI calculated within the past six months or during the current visit and a follow-up plan is</w:t>
            </w:r>
            <w:proofErr w:type="gramEnd"/>
            <w:r>
              <w:t xml:space="preserve"> documented within the last six months or during the current visit if the BMI is outside of normal parameters.</w:t>
            </w:r>
          </w:p>
          <w:p w14:paraId="1C1ED5C8" w14:textId="77777777" w:rsidR="00D44910" w:rsidRDefault="00D44910" w:rsidP="00D44910">
            <w:pPr>
              <w:pStyle w:val="NoSpacing"/>
            </w:pPr>
          </w:p>
          <w:p w14:paraId="1C1ED5C9" w14:textId="77777777" w:rsidR="00D44910" w:rsidRDefault="00D44910" w:rsidP="00D44910">
            <w:pPr>
              <w:pStyle w:val="NoSpacing"/>
            </w:pPr>
            <w:r>
              <w:t>Definitions:</w:t>
            </w:r>
          </w:p>
          <w:p w14:paraId="1C1ED5CA" w14:textId="77777777" w:rsidR="00D44910" w:rsidRDefault="00D44910" w:rsidP="00D44910">
            <w:pPr>
              <w:pStyle w:val="NoSpacing"/>
            </w:pPr>
          </w:p>
          <w:p w14:paraId="1C1ED5CB" w14:textId="77777777" w:rsidR="00D44910" w:rsidRDefault="00D44910" w:rsidP="00D44910">
            <w:pPr>
              <w:pStyle w:val="NoSpacing"/>
            </w:pPr>
            <w:r>
              <w:t>BMI – Body mass index (BMI) is expressed as weight/height (BMI; kg/m2) and is commonly used to classify weight categories.</w:t>
            </w:r>
          </w:p>
          <w:p w14:paraId="1C1ED5CC" w14:textId="77777777" w:rsidR="00D44910" w:rsidRDefault="00D44910" w:rsidP="00D44910">
            <w:pPr>
              <w:pStyle w:val="NoSpacing"/>
            </w:pPr>
          </w:p>
          <w:p w14:paraId="1C1ED5CD" w14:textId="77777777" w:rsidR="00D44910" w:rsidRDefault="00D44910" w:rsidP="00D44910">
            <w:pPr>
              <w:pStyle w:val="NoSpacing"/>
            </w:pPr>
            <w:r>
              <w:t>Calculated BMI – Requires an eligible professional or their staff to measure both the height and weight. Self-reported values cannot be used. BMI is calculated either as weight in pounds divided by height in inches squared multiplied by 703, or as weight in kilograms divided by height in meters squared.</w:t>
            </w:r>
          </w:p>
          <w:p w14:paraId="1C1ED5CE" w14:textId="77777777" w:rsidR="00D44910" w:rsidRDefault="00D44910" w:rsidP="00D44910">
            <w:pPr>
              <w:pStyle w:val="NoSpacing"/>
            </w:pPr>
          </w:p>
          <w:p w14:paraId="1C1ED5D0" w14:textId="76774E30" w:rsidR="00D44910" w:rsidRPr="009F7E66" w:rsidRDefault="00D44910" w:rsidP="00EB41FB">
            <w:pPr>
              <w:pStyle w:val="NoSpacing"/>
            </w:pPr>
            <w:r>
              <w:t>Follow-up Plan – Proposed outline of treatment to be conducted as a result of a BMI out of normal parameters. Such follow-up may include but is not limited to: documentation of a future appointment, education, referral (such as, a registered dietician, nutritionist, occupational therapist, physical therapist, primary care provider, exercise physiologist, mental health professional or surgeon), pharmacological interventions, dietary supplements, exercise counseling or nutrition counseling.</w:t>
            </w:r>
            <w:bookmarkStart w:id="0" w:name="_GoBack"/>
            <w:bookmarkEnd w:id="0"/>
          </w:p>
        </w:tc>
      </w:tr>
      <w:tr w:rsidR="00AC3A97" w14:paraId="1C1ED5D4" w14:textId="77777777" w:rsidTr="00A62572">
        <w:tc>
          <w:tcPr>
            <w:tcW w:w="2268" w:type="dxa"/>
          </w:tcPr>
          <w:p w14:paraId="1C1ED5D2" w14:textId="77777777" w:rsidR="00AC3A97" w:rsidRPr="00717546" w:rsidRDefault="00AC3A97" w:rsidP="00AF103E">
            <w:pPr>
              <w:pStyle w:val="NoSpacing"/>
              <w:rPr>
                <w:b/>
              </w:rPr>
            </w:pPr>
            <w:r>
              <w:rPr>
                <w:b/>
              </w:rPr>
              <w:t>Numerator Inclusions</w:t>
            </w:r>
          </w:p>
        </w:tc>
        <w:tc>
          <w:tcPr>
            <w:tcW w:w="7308" w:type="dxa"/>
          </w:tcPr>
          <w:p w14:paraId="11F821F6" w14:textId="77777777" w:rsidR="00AC3A97" w:rsidRDefault="00D44910" w:rsidP="00EE3FEB">
            <w:pPr>
              <w:pStyle w:val="NoSpacing"/>
            </w:pPr>
            <w:r w:rsidRPr="00D44910">
              <w:t xml:space="preserve">Body mass index (BMI) during the measurement </w:t>
            </w:r>
            <w:r w:rsidR="00741FE7">
              <w:t>period</w:t>
            </w:r>
            <w:r w:rsidR="00741FE7" w:rsidRPr="00D44910">
              <w:t xml:space="preserve"> </w:t>
            </w:r>
            <w:r w:rsidRPr="00D44910">
              <w:t xml:space="preserve">or </w:t>
            </w:r>
            <w:r w:rsidR="00741FE7">
              <w:t xml:space="preserve">12-month </w:t>
            </w:r>
            <w:r w:rsidR="00EE3FEB">
              <w:t>perio</w:t>
            </w:r>
            <w:r w:rsidR="00741FE7">
              <w:t>d</w:t>
            </w:r>
            <w:r w:rsidRPr="00D44910">
              <w:t xml:space="preserve"> prior to the measurement </w:t>
            </w:r>
            <w:r w:rsidR="00741FE7">
              <w:t>period</w:t>
            </w:r>
            <w:r w:rsidRPr="00D44910">
              <w:t xml:space="preserve">. </w:t>
            </w:r>
          </w:p>
          <w:p w14:paraId="7009FB37" w14:textId="77777777" w:rsidR="002E77D1" w:rsidRDefault="002E77D1" w:rsidP="002E77D1"/>
          <w:p w14:paraId="773BA36B" w14:textId="77777777" w:rsidR="002E77D1" w:rsidRDefault="002E77D1" w:rsidP="002E77D1">
            <w:r>
              <w:lastRenderedPageBreak/>
              <w:t>Numerator Note: Calculated BMI or follow-up plan for BMI outside of normal parameters that is documented in the medical record may be reported if done in the provider’s office/facility or if obtained by the provider from outside medical records within the past six months.</w:t>
            </w:r>
          </w:p>
          <w:p w14:paraId="1C1ED5D3" w14:textId="06AE83FB" w:rsidR="002E77D1" w:rsidRPr="00B02C0D" w:rsidRDefault="002E77D1" w:rsidP="00B02C0D">
            <w:r>
              <w:t>The documented follow-up interventions must be related to the BMI outside of normal parameters, example: “Patient referred to nutrition counseling for BMI above normal parameters”.</w:t>
            </w:r>
          </w:p>
        </w:tc>
      </w:tr>
      <w:tr w:rsidR="00AC3A97" w14:paraId="1C1ED5D7" w14:textId="77777777" w:rsidTr="00A62572">
        <w:tc>
          <w:tcPr>
            <w:tcW w:w="2268" w:type="dxa"/>
          </w:tcPr>
          <w:p w14:paraId="1C1ED5D5" w14:textId="77777777" w:rsidR="00AC3A97" w:rsidRPr="00717546" w:rsidRDefault="00AC3A97" w:rsidP="00AF103E">
            <w:pPr>
              <w:pStyle w:val="NoSpacing"/>
              <w:rPr>
                <w:b/>
              </w:rPr>
            </w:pPr>
            <w:r>
              <w:rPr>
                <w:b/>
              </w:rPr>
              <w:lastRenderedPageBreak/>
              <w:t>Numerator Exclusions</w:t>
            </w:r>
          </w:p>
        </w:tc>
        <w:tc>
          <w:tcPr>
            <w:tcW w:w="7308" w:type="dxa"/>
          </w:tcPr>
          <w:p w14:paraId="1C1ED5D6" w14:textId="77777777" w:rsidR="00AC3A97" w:rsidRPr="001D6BEA" w:rsidRDefault="009F04D0" w:rsidP="002E14AF">
            <w:pPr>
              <w:pStyle w:val="NoSpacing"/>
            </w:pPr>
            <w:r>
              <w:t>The Measure Steward does not identify specific numerator exclusions beyond what is described</w:t>
            </w:r>
            <w:r w:rsidR="000F54A3">
              <w:t xml:space="preserve"> in the numerator description.</w:t>
            </w:r>
          </w:p>
        </w:tc>
      </w:tr>
      <w:tr w:rsidR="00AD706B" w14:paraId="1C1ED5DA" w14:textId="77777777" w:rsidTr="00A62572">
        <w:tc>
          <w:tcPr>
            <w:tcW w:w="2268" w:type="dxa"/>
          </w:tcPr>
          <w:p w14:paraId="1C1ED5D8" w14:textId="77777777" w:rsidR="00AD706B" w:rsidRPr="00717546" w:rsidRDefault="00AD706B" w:rsidP="00A374B8">
            <w:pPr>
              <w:pStyle w:val="NoSpacing"/>
              <w:rPr>
                <w:b/>
              </w:rPr>
            </w:pPr>
            <w:r>
              <w:rPr>
                <w:b/>
              </w:rPr>
              <w:t>Setting</w:t>
            </w:r>
          </w:p>
        </w:tc>
        <w:tc>
          <w:tcPr>
            <w:tcW w:w="7308" w:type="dxa"/>
          </w:tcPr>
          <w:p w14:paraId="1C1ED5D9" w14:textId="77777777" w:rsidR="00AD706B" w:rsidRDefault="0061196C" w:rsidP="00CD7069">
            <w:pPr>
              <w:pStyle w:val="NoSpacing"/>
            </w:pPr>
            <w:r>
              <w:t>Multiple.</w:t>
            </w:r>
          </w:p>
        </w:tc>
      </w:tr>
      <w:tr w:rsidR="00AD706B" w14:paraId="1C1ED5DE" w14:textId="77777777" w:rsidTr="00A62572">
        <w:tc>
          <w:tcPr>
            <w:tcW w:w="2268" w:type="dxa"/>
          </w:tcPr>
          <w:p w14:paraId="1C1ED5DB" w14:textId="77777777" w:rsidR="00AD706B" w:rsidRDefault="00AD706B" w:rsidP="00A374B8">
            <w:pPr>
              <w:pStyle w:val="NoSpacing"/>
              <w:rPr>
                <w:b/>
              </w:rPr>
            </w:pPr>
            <w:r>
              <w:rPr>
                <w:b/>
              </w:rPr>
              <w:t>Data Source</w:t>
            </w:r>
          </w:p>
        </w:tc>
        <w:tc>
          <w:tcPr>
            <w:tcW w:w="7308" w:type="dxa"/>
          </w:tcPr>
          <w:p w14:paraId="1C1ED5DC" w14:textId="77777777" w:rsidR="000F54A3" w:rsidRDefault="000F54A3" w:rsidP="000F54A3">
            <w:pPr>
              <w:pStyle w:val="NoSpacing"/>
            </w:pPr>
            <w:r>
              <w:t>Administrative clinical data</w:t>
            </w:r>
          </w:p>
          <w:p w14:paraId="1C1ED5DD" w14:textId="77777777" w:rsidR="00AD706B" w:rsidRDefault="000F54A3" w:rsidP="000F54A3">
            <w:pPr>
              <w:pStyle w:val="NoSpacing"/>
            </w:pPr>
            <w:r>
              <w:t>Paper medical record</w:t>
            </w:r>
          </w:p>
        </w:tc>
      </w:tr>
      <w:tr w:rsidR="002E77D1" w14:paraId="1C1ED5FD" w14:textId="77777777" w:rsidTr="00A62572">
        <w:tc>
          <w:tcPr>
            <w:tcW w:w="2268" w:type="dxa"/>
          </w:tcPr>
          <w:p w14:paraId="1C1ED5DF" w14:textId="65280DAE" w:rsidR="002E77D1" w:rsidRPr="00717546" w:rsidRDefault="002E77D1" w:rsidP="00F05C01">
            <w:pPr>
              <w:pStyle w:val="NoSpacing"/>
              <w:rPr>
                <w:b/>
              </w:rPr>
            </w:pPr>
            <w:r>
              <w:rPr>
                <w:b/>
              </w:rPr>
              <w:t>Allowable Denominator Sub-sets</w:t>
            </w:r>
          </w:p>
        </w:tc>
        <w:tc>
          <w:tcPr>
            <w:tcW w:w="7308" w:type="dxa"/>
          </w:tcPr>
          <w:p w14:paraId="5ED84321" w14:textId="77777777" w:rsidR="002E77D1" w:rsidRDefault="002E77D1" w:rsidP="007D6148">
            <w:pPr>
              <w:pStyle w:val="NoSpacing"/>
            </w:pPr>
            <w:r>
              <w:t>All denominator subsets are permissible for this outcome</w:t>
            </w:r>
          </w:p>
          <w:p w14:paraId="1C1ED5FC" w14:textId="5108FA5B" w:rsidR="002E77D1" w:rsidRDefault="002E77D1" w:rsidP="007F7C07">
            <w:pPr>
              <w:pStyle w:val="NoSpacing"/>
            </w:pPr>
            <w:r>
              <w:t> </w:t>
            </w:r>
          </w:p>
        </w:tc>
      </w:tr>
    </w:tbl>
    <w:p w14:paraId="1C1ED647" w14:textId="77777777" w:rsidR="00356CF4" w:rsidRPr="008F249E" w:rsidRDefault="00356CF4" w:rsidP="007C7C85">
      <w:pPr>
        <w:pStyle w:val="Heading2"/>
      </w:pPr>
    </w:p>
    <w:sectPr w:rsidR="00356CF4" w:rsidRPr="008F249E" w:rsidSect="008609D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1ED64C" w14:textId="77777777" w:rsidR="00AB63D1" w:rsidRDefault="00AB63D1" w:rsidP="00F63191">
      <w:pPr>
        <w:spacing w:after="0" w:line="240" w:lineRule="auto"/>
      </w:pPr>
      <w:r>
        <w:separator/>
      </w:r>
    </w:p>
  </w:endnote>
  <w:endnote w:type="continuationSeparator" w:id="0">
    <w:p w14:paraId="1C1ED64D" w14:textId="77777777" w:rsidR="00AB63D1" w:rsidRDefault="00AB63D1" w:rsidP="00F63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93ABD" w14:textId="194F2208" w:rsidR="003704DC" w:rsidRDefault="003704DC">
    <w:pPr>
      <w:pStyle w:val="Footer"/>
    </w:pPr>
    <w:r>
      <w:t>09/</w:t>
    </w:r>
    <w:r w:rsidR="002C7517">
      <w:t>24</w:t>
    </w:r>
    <w:r>
      <w:t>/14</w:t>
    </w:r>
  </w:p>
  <w:p w14:paraId="1C1ED650" w14:textId="77777777" w:rsidR="002E14AF" w:rsidRDefault="002E14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ED64A" w14:textId="77777777" w:rsidR="00AB63D1" w:rsidRDefault="00AB63D1" w:rsidP="00F63191">
      <w:pPr>
        <w:spacing w:after="0" w:line="240" w:lineRule="auto"/>
      </w:pPr>
      <w:r>
        <w:separator/>
      </w:r>
    </w:p>
  </w:footnote>
  <w:footnote w:type="continuationSeparator" w:id="0">
    <w:p w14:paraId="1C1ED64B" w14:textId="77777777" w:rsidR="00AB63D1" w:rsidRDefault="00AB63D1" w:rsidP="00F631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ED64E" w14:textId="6CA2093D" w:rsidR="008F0411" w:rsidRDefault="008F0411" w:rsidP="008F041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C2B61"/>
    <w:multiLevelType w:val="hybridMultilevel"/>
    <w:tmpl w:val="C468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97CC7"/>
    <w:multiLevelType w:val="hybridMultilevel"/>
    <w:tmpl w:val="7E08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B736DD"/>
    <w:multiLevelType w:val="hybridMultilevel"/>
    <w:tmpl w:val="E34C5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A57262"/>
    <w:multiLevelType w:val="hybridMultilevel"/>
    <w:tmpl w:val="EADE0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08E5838"/>
    <w:multiLevelType w:val="hybridMultilevel"/>
    <w:tmpl w:val="55B20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1230B50"/>
    <w:multiLevelType w:val="hybridMultilevel"/>
    <w:tmpl w:val="4DE23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A31801"/>
    <w:multiLevelType w:val="hybridMultilevel"/>
    <w:tmpl w:val="09F2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7D14B6"/>
    <w:multiLevelType w:val="hybridMultilevel"/>
    <w:tmpl w:val="8078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AC7387"/>
    <w:multiLevelType w:val="hybridMultilevel"/>
    <w:tmpl w:val="8B48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B82C1A"/>
    <w:multiLevelType w:val="hybridMultilevel"/>
    <w:tmpl w:val="2346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F37E71"/>
    <w:multiLevelType w:val="hybridMultilevel"/>
    <w:tmpl w:val="1D3E4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8"/>
  </w:num>
  <w:num w:numId="5">
    <w:abstractNumId w:val="2"/>
  </w:num>
  <w:num w:numId="6">
    <w:abstractNumId w:val="5"/>
  </w:num>
  <w:num w:numId="7">
    <w:abstractNumId w:val="10"/>
  </w:num>
  <w:num w:numId="8">
    <w:abstractNumId w:val="6"/>
  </w:num>
  <w:num w:numId="9">
    <w:abstractNumId w:val="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6B"/>
    <w:rsid w:val="00083748"/>
    <w:rsid w:val="000C575F"/>
    <w:rsid w:val="000D1199"/>
    <w:rsid w:val="000D5A2D"/>
    <w:rsid w:val="000E7EED"/>
    <w:rsid w:val="000F54A3"/>
    <w:rsid w:val="00100A2F"/>
    <w:rsid w:val="00107C1A"/>
    <w:rsid w:val="0011709A"/>
    <w:rsid w:val="00165D76"/>
    <w:rsid w:val="001D6BEA"/>
    <w:rsid w:val="002224F0"/>
    <w:rsid w:val="00240A0A"/>
    <w:rsid w:val="00245754"/>
    <w:rsid w:val="00271E53"/>
    <w:rsid w:val="002845C2"/>
    <w:rsid w:val="002C7517"/>
    <w:rsid w:val="002E14AF"/>
    <w:rsid w:val="002E77D1"/>
    <w:rsid w:val="00316E9F"/>
    <w:rsid w:val="0032246B"/>
    <w:rsid w:val="00346B8D"/>
    <w:rsid w:val="00356CF4"/>
    <w:rsid w:val="00366CC4"/>
    <w:rsid w:val="00366D0B"/>
    <w:rsid w:val="003704DC"/>
    <w:rsid w:val="00375652"/>
    <w:rsid w:val="00383516"/>
    <w:rsid w:val="003844DB"/>
    <w:rsid w:val="003A409E"/>
    <w:rsid w:val="003F4E8D"/>
    <w:rsid w:val="00416E44"/>
    <w:rsid w:val="004E0A9A"/>
    <w:rsid w:val="004E5FFE"/>
    <w:rsid w:val="00502BE4"/>
    <w:rsid w:val="00506BC5"/>
    <w:rsid w:val="00536799"/>
    <w:rsid w:val="00550CFB"/>
    <w:rsid w:val="005802A0"/>
    <w:rsid w:val="005857E6"/>
    <w:rsid w:val="005B79DD"/>
    <w:rsid w:val="005C70A1"/>
    <w:rsid w:val="005F4D43"/>
    <w:rsid w:val="005F5A45"/>
    <w:rsid w:val="0061196C"/>
    <w:rsid w:val="007164C7"/>
    <w:rsid w:val="00741FE7"/>
    <w:rsid w:val="00743628"/>
    <w:rsid w:val="00760D27"/>
    <w:rsid w:val="007B081D"/>
    <w:rsid w:val="007C728B"/>
    <w:rsid w:val="007C7C85"/>
    <w:rsid w:val="007E0395"/>
    <w:rsid w:val="007F2BA1"/>
    <w:rsid w:val="007F675B"/>
    <w:rsid w:val="007F7C07"/>
    <w:rsid w:val="00823868"/>
    <w:rsid w:val="00827557"/>
    <w:rsid w:val="00855098"/>
    <w:rsid w:val="008609DF"/>
    <w:rsid w:val="008722BB"/>
    <w:rsid w:val="008779F5"/>
    <w:rsid w:val="0088642E"/>
    <w:rsid w:val="00886E0E"/>
    <w:rsid w:val="008A5405"/>
    <w:rsid w:val="008B2864"/>
    <w:rsid w:val="008D1A8E"/>
    <w:rsid w:val="008D70E7"/>
    <w:rsid w:val="008E5828"/>
    <w:rsid w:val="008F0411"/>
    <w:rsid w:val="008F249E"/>
    <w:rsid w:val="008F5F9C"/>
    <w:rsid w:val="009511CC"/>
    <w:rsid w:val="00961379"/>
    <w:rsid w:val="00965A2A"/>
    <w:rsid w:val="00967948"/>
    <w:rsid w:val="00994A41"/>
    <w:rsid w:val="00996DD5"/>
    <w:rsid w:val="009C59FA"/>
    <w:rsid w:val="009C6EA3"/>
    <w:rsid w:val="009F04D0"/>
    <w:rsid w:val="009F78A7"/>
    <w:rsid w:val="009F7E66"/>
    <w:rsid w:val="00A11BD9"/>
    <w:rsid w:val="00A34B33"/>
    <w:rsid w:val="00A62572"/>
    <w:rsid w:val="00A82574"/>
    <w:rsid w:val="00AB1963"/>
    <w:rsid w:val="00AB63D1"/>
    <w:rsid w:val="00AC3A97"/>
    <w:rsid w:val="00AD706B"/>
    <w:rsid w:val="00AF03B2"/>
    <w:rsid w:val="00AF3A3D"/>
    <w:rsid w:val="00B02C0D"/>
    <w:rsid w:val="00B05CBF"/>
    <w:rsid w:val="00B0753E"/>
    <w:rsid w:val="00B20462"/>
    <w:rsid w:val="00B546CF"/>
    <w:rsid w:val="00B65D92"/>
    <w:rsid w:val="00BA61F1"/>
    <w:rsid w:val="00BC4643"/>
    <w:rsid w:val="00BE2D7B"/>
    <w:rsid w:val="00C01E6F"/>
    <w:rsid w:val="00C27D68"/>
    <w:rsid w:val="00C7035A"/>
    <w:rsid w:val="00C86C48"/>
    <w:rsid w:val="00C9758A"/>
    <w:rsid w:val="00CA2D3E"/>
    <w:rsid w:val="00CA4C08"/>
    <w:rsid w:val="00CC28BC"/>
    <w:rsid w:val="00CD7069"/>
    <w:rsid w:val="00D1777E"/>
    <w:rsid w:val="00D44910"/>
    <w:rsid w:val="00D63CD3"/>
    <w:rsid w:val="00D73FBB"/>
    <w:rsid w:val="00DB7651"/>
    <w:rsid w:val="00DE0219"/>
    <w:rsid w:val="00DE660A"/>
    <w:rsid w:val="00DE77E9"/>
    <w:rsid w:val="00E3262E"/>
    <w:rsid w:val="00E43145"/>
    <w:rsid w:val="00EB41FB"/>
    <w:rsid w:val="00EB6678"/>
    <w:rsid w:val="00EE3FEB"/>
    <w:rsid w:val="00EF333D"/>
    <w:rsid w:val="00F05C01"/>
    <w:rsid w:val="00F069C3"/>
    <w:rsid w:val="00F06C5E"/>
    <w:rsid w:val="00F20443"/>
    <w:rsid w:val="00F63191"/>
    <w:rsid w:val="00F64CD1"/>
    <w:rsid w:val="00F927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E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6B"/>
    <w:pPr>
      <w:spacing w:line="276" w:lineRule="auto"/>
    </w:pPr>
  </w:style>
  <w:style w:type="paragraph" w:styleId="Heading1">
    <w:name w:val="heading 1"/>
    <w:basedOn w:val="Normal"/>
    <w:next w:val="Normal"/>
    <w:link w:val="Heading1Char"/>
    <w:uiPriority w:val="9"/>
    <w:qFormat/>
    <w:rsid w:val="00AD7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70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0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706B"/>
    <w:rPr>
      <w:rFonts w:asciiTheme="majorHAnsi" w:eastAsiaTheme="majorEastAsia" w:hAnsiTheme="majorHAnsi" w:cstheme="majorBidi"/>
      <w:b/>
      <w:bCs/>
      <w:color w:val="4F81BD" w:themeColor="accent1"/>
      <w:sz w:val="26"/>
      <w:szCs w:val="26"/>
    </w:rPr>
  </w:style>
  <w:style w:type="paragraph" w:styleId="NoSpacing">
    <w:name w:val="No Spacing"/>
    <w:aliases w:val="Body"/>
    <w:uiPriority w:val="1"/>
    <w:qFormat/>
    <w:rsid w:val="00AD706B"/>
    <w:pPr>
      <w:spacing w:after="0"/>
    </w:pPr>
  </w:style>
  <w:style w:type="paragraph" w:styleId="Title">
    <w:name w:val="Title"/>
    <w:basedOn w:val="Normal"/>
    <w:next w:val="Normal"/>
    <w:link w:val="TitleChar"/>
    <w:uiPriority w:val="10"/>
    <w:qFormat/>
    <w:rsid w:val="00AD70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06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D706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706B"/>
    <w:rPr>
      <w:color w:val="0000FF" w:themeColor="hyperlink"/>
      <w:u w:val="single"/>
    </w:rPr>
  </w:style>
  <w:style w:type="character" w:styleId="CommentReference">
    <w:name w:val="annotation reference"/>
    <w:basedOn w:val="DefaultParagraphFont"/>
    <w:uiPriority w:val="99"/>
    <w:semiHidden/>
    <w:unhideWhenUsed/>
    <w:rsid w:val="00AD706B"/>
    <w:rPr>
      <w:sz w:val="16"/>
      <w:szCs w:val="16"/>
    </w:rPr>
  </w:style>
  <w:style w:type="paragraph" w:styleId="CommentText">
    <w:name w:val="annotation text"/>
    <w:basedOn w:val="Normal"/>
    <w:link w:val="CommentTextChar"/>
    <w:uiPriority w:val="99"/>
    <w:semiHidden/>
    <w:unhideWhenUsed/>
    <w:rsid w:val="00AD706B"/>
    <w:pPr>
      <w:spacing w:line="240" w:lineRule="auto"/>
    </w:pPr>
    <w:rPr>
      <w:sz w:val="20"/>
      <w:szCs w:val="20"/>
    </w:rPr>
  </w:style>
  <w:style w:type="character" w:customStyle="1" w:styleId="CommentTextChar">
    <w:name w:val="Comment Text Char"/>
    <w:basedOn w:val="DefaultParagraphFont"/>
    <w:link w:val="CommentText"/>
    <w:uiPriority w:val="99"/>
    <w:semiHidden/>
    <w:rsid w:val="00AD706B"/>
    <w:rPr>
      <w:sz w:val="20"/>
      <w:szCs w:val="20"/>
    </w:rPr>
  </w:style>
  <w:style w:type="paragraph" w:styleId="BalloonText">
    <w:name w:val="Balloon Text"/>
    <w:basedOn w:val="Normal"/>
    <w:link w:val="BalloonTextChar"/>
    <w:uiPriority w:val="99"/>
    <w:semiHidden/>
    <w:unhideWhenUsed/>
    <w:rsid w:val="00AD7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06B"/>
    <w:rPr>
      <w:rFonts w:ascii="Tahoma" w:hAnsi="Tahoma" w:cs="Tahoma"/>
      <w:sz w:val="16"/>
      <w:szCs w:val="16"/>
    </w:rPr>
  </w:style>
  <w:style w:type="paragraph" w:styleId="Revision">
    <w:name w:val="Revision"/>
    <w:hidden/>
    <w:uiPriority w:val="99"/>
    <w:semiHidden/>
    <w:rsid w:val="00AD706B"/>
    <w:pPr>
      <w:spacing w:after="0"/>
    </w:pPr>
  </w:style>
  <w:style w:type="paragraph" w:styleId="CommentSubject">
    <w:name w:val="annotation subject"/>
    <w:basedOn w:val="CommentText"/>
    <w:next w:val="CommentText"/>
    <w:link w:val="CommentSubjectChar"/>
    <w:uiPriority w:val="99"/>
    <w:semiHidden/>
    <w:unhideWhenUsed/>
    <w:rsid w:val="00AD706B"/>
    <w:rPr>
      <w:b/>
      <w:bCs/>
    </w:rPr>
  </w:style>
  <w:style w:type="character" w:customStyle="1" w:styleId="CommentSubjectChar">
    <w:name w:val="Comment Subject Char"/>
    <w:basedOn w:val="CommentTextChar"/>
    <w:link w:val="CommentSubject"/>
    <w:uiPriority w:val="99"/>
    <w:semiHidden/>
    <w:rsid w:val="00AD706B"/>
    <w:rPr>
      <w:b/>
      <w:bCs/>
      <w:sz w:val="20"/>
      <w:szCs w:val="20"/>
    </w:rPr>
  </w:style>
  <w:style w:type="paragraph" w:styleId="Header">
    <w:name w:val="header"/>
    <w:basedOn w:val="Normal"/>
    <w:link w:val="HeaderChar"/>
    <w:uiPriority w:val="99"/>
    <w:unhideWhenUsed/>
    <w:rsid w:val="00F63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91"/>
  </w:style>
  <w:style w:type="paragraph" w:styleId="Footer">
    <w:name w:val="footer"/>
    <w:basedOn w:val="Normal"/>
    <w:link w:val="FooterChar"/>
    <w:uiPriority w:val="99"/>
    <w:unhideWhenUsed/>
    <w:rsid w:val="00F63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91"/>
  </w:style>
  <w:style w:type="character" w:styleId="FollowedHyperlink">
    <w:name w:val="FollowedHyperlink"/>
    <w:basedOn w:val="DefaultParagraphFont"/>
    <w:uiPriority w:val="99"/>
    <w:semiHidden/>
    <w:unhideWhenUsed/>
    <w:rsid w:val="00BE2D7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6B"/>
    <w:pPr>
      <w:spacing w:line="276" w:lineRule="auto"/>
    </w:pPr>
  </w:style>
  <w:style w:type="paragraph" w:styleId="Heading1">
    <w:name w:val="heading 1"/>
    <w:basedOn w:val="Normal"/>
    <w:next w:val="Normal"/>
    <w:link w:val="Heading1Char"/>
    <w:uiPriority w:val="9"/>
    <w:qFormat/>
    <w:rsid w:val="00AD7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70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0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706B"/>
    <w:rPr>
      <w:rFonts w:asciiTheme="majorHAnsi" w:eastAsiaTheme="majorEastAsia" w:hAnsiTheme="majorHAnsi" w:cstheme="majorBidi"/>
      <w:b/>
      <w:bCs/>
      <w:color w:val="4F81BD" w:themeColor="accent1"/>
      <w:sz w:val="26"/>
      <w:szCs w:val="26"/>
    </w:rPr>
  </w:style>
  <w:style w:type="paragraph" w:styleId="NoSpacing">
    <w:name w:val="No Spacing"/>
    <w:aliases w:val="Body"/>
    <w:uiPriority w:val="1"/>
    <w:qFormat/>
    <w:rsid w:val="00AD706B"/>
    <w:pPr>
      <w:spacing w:after="0"/>
    </w:pPr>
  </w:style>
  <w:style w:type="paragraph" w:styleId="Title">
    <w:name w:val="Title"/>
    <w:basedOn w:val="Normal"/>
    <w:next w:val="Normal"/>
    <w:link w:val="TitleChar"/>
    <w:uiPriority w:val="10"/>
    <w:qFormat/>
    <w:rsid w:val="00AD70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06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D706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706B"/>
    <w:rPr>
      <w:color w:val="0000FF" w:themeColor="hyperlink"/>
      <w:u w:val="single"/>
    </w:rPr>
  </w:style>
  <w:style w:type="character" w:styleId="CommentReference">
    <w:name w:val="annotation reference"/>
    <w:basedOn w:val="DefaultParagraphFont"/>
    <w:uiPriority w:val="99"/>
    <w:semiHidden/>
    <w:unhideWhenUsed/>
    <w:rsid w:val="00AD706B"/>
    <w:rPr>
      <w:sz w:val="16"/>
      <w:szCs w:val="16"/>
    </w:rPr>
  </w:style>
  <w:style w:type="paragraph" w:styleId="CommentText">
    <w:name w:val="annotation text"/>
    <w:basedOn w:val="Normal"/>
    <w:link w:val="CommentTextChar"/>
    <w:uiPriority w:val="99"/>
    <w:semiHidden/>
    <w:unhideWhenUsed/>
    <w:rsid w:val="00AD706B"/>
    <w:pPr>
      <w:spacing w:line="240" w:lineRule="auto"/>
    </w:pPr>
    <w:rPr>
      <w:sz w:val="20"/>
      <w:szCs w:val="20"/>
    </w:rPr>
  </w:style>
  <w:style w:type="character" w:customStyle="1" w:styleId="CommentTextChar">
    <w:name w:val="Comment Text Char"/>
    <w:basedOn w:val="DefaultParagraphFont"/>
    <w:link w:val="CommentText"/>
    <w:uiPriority w:val="99"/>
    <w:semiHidden/>
    <w:rsid w:val="00AD706B"/>
    <w:rPr>
      <w:sz w:val="20"/>
      <w:szCs w:val="20"/>
    </w:rPr>
  </w:style>
  <w:style w:type="paragraph" w:styleId="BalloonText">
    <w:name w:val="Balloon Text"/>
    <w:basedOn w:val="Normal"/>
    <w:link w:val="BalloonTextChar"/>
    <w:uiPriority w:val="99"/>
    <w:semiHidden/>
    <w:unhideWhenUsed/>
    <w:rsid w:val="00AD7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06B"/>
    <w:rPr>
      <w:rFonts w:ascii="Tahoma" w:hAnsi="Tahoma" w:cs="Tahoma"/>
      <w:sz w:val="16"/>
      <w:szCs w:val="16"/>
    </w:rPr>
  </w:style>
  <w:style w:type="paragraph" w:styleId="Revision">
    <w:name w:val="Revision"/>
    <w:hidden/>
    <w:uiPriority w:val="99"/>
    <w:semiHidden/>
    <w:rsid w:val="00AD706B"/>
    <w:pPr>
      <w:spacing w:after="0"/>
    </w:pPr>
  </w:style>
  <w:style w:type="paragraph" w:styleId="CommentSubject">
    <w:name w:val="annotation subject"/>
    <w:basedOn w:val="CommentText"/>
    <w:next w:val="CommentText"/>
    <w:link w:val="CommentSubjectChar"/>
    <w:uiPriority w:val="99"/>
    <w:semiHidden/>
    <w:unhideWhenUsed/>
    <w:rsid w:val="00AD706B"/>
    <w:rPr>
      <w:b/>
      <w:bCs/>
    </w:rPr>
  </w:style>
  <w:style w:type="character" w:customStyle="1" w:styleId="CommentSubjectChar">
    <w:name w:val="Comment Subject Char"/>
    <w:basedOn w:val="CommentTextChar"/>
    <w:link w:val="CommentSubject"/>
    <w:uiPriority w:val="99"/>
    <w:semiHidden/>
    <w:rsid w:val="00AD706B"/>
    <w:rPr>
      <w:b/>
      <w:bCs/>
      <w:sz w:val="20"/>
      <w:szCs w:val="20"/>
    </w:rPr>
  </w:style>
  <w:style w:type="paragraph" w:styleId="Header">
    <w:name w:val="header"/>
    <w:basedOn w:val="Normal"/>
    <w:link w:val="HeaderChar"/>
    <w:uiPriority w:val="99"/>
    <w:unhideWhenUsed/>
    <w:rsid w:val="00F63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91"/>
  </w:style>
  <w:style w:type="paragraph" w:styleId="Footer">
    <w:name w:val="footer"/>
    <w:basedOn w:val="Normal"/>
    <w:link w:val="FooterChar"/>
    <w:uiPriority w:val="99"/>
    <w:unhideWhenUsed/>
    <w:rsid w:val="00F63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91"/>
  </w:style>
  <w:style w:type="character" w:styleId="FollowedHyperlink">
    <w:name w:val="FollowedHyperlink"/>
    <w:basedOn w:val="DefaultParagraphFont"/>
    <w:uiPriority w:val="99"/>
    <w:semiHidden/>
    <w:unhideWhenUsed/>
    <w:rsid w:val="00BE2D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09683">
      <w:bodyDiv w:val="1"/>
      <w:marLeft w:val="0"/>
      <w:marRight w:val="0"/>
      <w:marTop w:val="0"/>
      <w:marBottom w:val="0"/>
      <w:divBdr>
        <w:top w:val="none" w:sz="0" w:space="0" w:color="auto"/>
        <w:left w:val="none" w:sz="0" w:space="0" w:color="auto"/>
        <w:bottom w:val="none" w:sz="0" w:space="0" w:color="auto"/>
        <w:right w:val="none" w:sz="0" w:space="0" w:color="auto"/>
      </w:divBdr>
    </w:div>
    <w:div w:id="195482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079C9F2DB0E6419EBB9BE3C6F3B017" ma:contentTypeVersion="0" ma:contentTypeDescription="Create a new document." ma:contentTypeScope="" ma:versionID="077bd394d213835c910b5b1865298ea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02B0C-539C-452D-98E8-0BEC4F4D8C69}">
  <ds:schemaRefs>
    <ds:schemaRef ds:uri="http://schemas.microsoft.com/sharepoint/v3/contenttype/forms"/>
  </ds:schemaRefs>
</ds:datastoreItem>
</file>

<file path=customXml/itemProps2.xml><?xml version="1.0" encoding="utf-8"?>
<ds:datastoreItem xmlns:ds="http://schemas.openxmlformats.org/officeDocument/2006/customXml" ds:itemID="{342A1904-E464-497C-954D-540F619DD09F}">
  <ds:schemaRefs>
    <ds:schemaRef ds:uri="http://purl.org/dc/elements/1.1/"/>
    <ds:schemaRef ds:uri="http://purl.org/dc/dcmitype/"/>
    <ds:schemaRef ds:uri="http://schemas.microsoft.com/office/infopath/2007/PartnerControls"/>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348AC9D-607E-488F-83F0-E76033EB7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A29C4FD-E1C5-48C5-9AA7-41A4529C7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HHSC</Company>
  <LinksUpToDate>false</LinksUpToDate>
  <CharactersWithSpaces>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Woodard,Jennifer (HHSC)</dc:creator>
  <cp:lastModifiedBy>Windows User</cp:lastModifiedBy>
  <cp:revision>3</cp:revision>
  <dcterms:created xsi:type="dcterms:W3CDTF">2014-09-24T13:41:00Z</dcterms:created>
  <dcterms:modified xsi:type="dcterms:W3CDTF">2014-09-24T13:41:00Z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0x010100A5079C9F2DB0E6419EBB9BE3C6F3B017</vt:lpwstr>
  </property>
</Properties>
</file>