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D4A5B" w14:textId="77777777" w:rsidR="00AD706B" w:rsidRDefault="00AD706B" w:rsidP="00AD706B">
      <w:pPr>
        <w:pStyle w:val="Heading1"/>
      </w:pPr>
      <w:r>
        <w:t>IT-</w:t>
      </w:r>
      <w:r w:rsidR="00D70F9E">
        <w:t>1.1</w:t>
      </w:r>
      <w:r>
        <w:t xml:space="preserve">:  </w:t>
      </w:r>
      <w:r w:rsidR="00D70F9E">
        <w:t>Third Next Available Appointment</w:t>
      </w:r>
      <w:r w:rsidR="00D70F9E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286"/>
        <w:gridCol w:w="2286"/>
        <w:gridCol w:w="2286"/>
      </w:tblGrid>
      <w:tr w:rsidR="00AD706B" w14:paraId="45951555" w14:textId="77777777" w:rsidTr="0011709A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19CA5981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gridSpan w:val="3"/>
            <w:shd w:val="clear" w:color="auto" w:fill="F2F2F2" w:themeFill="background1" w:themeFillShade="F2"/>
          </w:tcPr>
          <w:p w14:paraId="02D8788B" w14:textId="63E83574" w:rsidR="00AD706B" w:rsidRPr="008779F5" w:rsidRDefault="00871674" w:rsidP="001511D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IT-1.1 </w:t>
            </w:r>
            <w:r w:rsidR="001511DC">
              <w:rPr>
                <w:b/>
              </w:rPr>
              <w:t>Time to Third Next Available Appointment for an Office Visit</w:t>
            </w:r>
          </w:p>
        </w:tc>
      </w:tr>
      <w:tr w:rsidR="00AD706B" w14:paraId="686A5EF7" w14:textId="77777777" w:rsidTr="00A374B8">
        <w:tc>
          <w:tcPr>
            <w:tcW w:w="2718" w:type="dxa"/>
          </w:tcPr>
          <w:p w14:paraId="03603780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  <w:gridSpan w:val="3"/>
          </w:tcPr>
          <w:p w14:paraId="1D3DD6E9" w14:textId="77777777" w:rsidR="00AD706B" w:rsidRDefault="00BC1255" w:rsidP="00BC1255">
            <w:pPr>
              <w:pStyle w:val="NoSpacing"/>
            </w:pPr>
            <w:r>
              <w:t>Assesses</w:t>
            </w:r>
            <w:r w:rsidR="0067139E" w:rsidRPr="0067139E">
              <w:t xml:space="preserve"> the average number of days to the third next available </w:t>
            </w:r>
            <w:r w:rsidR="0067139E">
              <w:t>appointment for an office visit</w:t>
            </w:r>
            <w:r w:rsidR="0067139E" w:rsidRPr="0067139E">
              <w:t xml:space="preserve"> for each clinic and/or department. </w:t>
            </w:r>
          </w:p>
        </w:tc>
      </w:tr>
      <w:tr w:rsidR="00AD706B" w14:paraId="571A27E9" w14:textId="77777777" w:rsidTr="00A374B8">
        <w:tc>
          <w:tcPr>
            <w:tcW w:w="2718" w:type="dxa"/>
          </w:tcPr>
          <w:p w14:paraId="53CA1E05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  <w:gridSpan w:val="3"/>
          </w:tcPr>
          <w:p w14:paraId="0BEE7C10" w14:textId="77777777" w:rsidR="00AD706B" w:rsidRDefault="00BC1255" w:rsidP="00B05CBF">
            <w:pPr>
              <w:pStyle w:val="NoSpacing"/>
            </w:pPr>
            <w:r>
              <w:t>Not applicable</w:t>
            </w:r>
          </w:p>
        </w:tc>
      </w:tr>
      <w:tr w:rsidR="00AD706B" w14:paraId="1E3EBD25" w14:textId="77777777" w:rsidTr="00A374B8">
        <w:tc>
          <w:tcPr>
            <w:tcW w:w="2718" w:type="dxa"/>
          </w:tcPr>
          <w:p w14:paraId="2179F508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  <w:gridSpan w:val="3"/>
          </w:tcPr>
          <w:p w14:paraId="5EB9F026" w14:textId="77777777" w:rsidR="00AD706B" w:rsidRPr="00631E85" w:rsidRDefault="00BC1255" w:rsidP="00A374B8">
            <w:pPr>
              <w:pStyle w:val="NoSpacing"/>
            </w:pPr>
            <w:r w:rsidRPr="00BC1255">
              <w:t>Wisconsin Collaborative for Healthcare Quality - Health Care Quality Collaboratio</w:t>
            </w:r>
            <w:r>
              <w:t>n</w:t>
            </w:r>
          </w:p>
        </w:tc>
      </w:tr>
      <w:tr w:rsidR="00AD706B" w14:paraId="16F511E2" w14:textId="77777777" w:rsidTr="00A374B8">
        <w:tc>
          <w:tcPr>
            <w:tcW w:w="2718" w:type="dxa"/>
          </w:tcPr>
          <w:p w14:paraId="67EAF806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  <w:gridSpan w:val="3"/>
          </w:tcPr>
          <w:p w14:paraId="3C39F83D" w14:textId="77777777" w:rsidR="00BC1255" w:rsidRPr="00631E85" w:rsidRDefault="004117C3" w:rsidP="00A374B8">
            <w:pPr>
              <w:pStyle w:val="NoSpacing"/>
            </w:pPr>
            <w:hyperlink r:id="rId12" w:history="1">
              <w:r w:rsidR="00BC1255" w:rsidRPr="00C166FF">
                <w:rPr>
                  <w:rStyle w:val="Hyperlink"/>
                </w:rPr>
                <w:t>http://www.qualitymeasures.ahrq.gov/popups/printView.aspx?id=23918</w:t>
              </w:r>
            </w:hyperlink>
          </w:p>
        </w:tc>
      </w:tr>
      <w:tr w:rsidR="00AD706B" w14:paraId="2EC16E73" w14:textId="77777777" w:rsidTr="00A374B8">
        <w:tc>
          <w:tcPr>
            <w:tcW w:w="2718" w:type="dxa"/>
          </w:tcPr>
          <w:p w14:paraId="52BBB6C9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  <w:gridSpan w:val="3"/>
          </w:tcPr>
          <w:p w14:paraId="066012E4" w14:textId="77777777" w:rsidR="00AD706B" w:rsidRDefault="00165D76" w:rsidP="00BC1255">
            <w:pPr>
              <w:pStyle w:val="NoSpacing"/>
            </w:pPr>
            <w:r>
              <w:t>Non Stand-A</w:t>
            </w:r>
            <w:r w:rsidR="00AD706B">
              <w:t>lone</w:t>
            </w:r>
            <w:r>
              <w:t xml:space="preserve"> (NSA</w:t>
            </w:r>
            <w:r w:rsidR="00BC1255">
              <w:t>)</w:t>
            </w:r>
          </w:p>
        </w:tc>
      </w:tr>
      <w:tr w:rsidR="00AD706B" w14:paraId="082CE5C1" w14:textId="77777777" w:rsidTr="00A374B8">
        <w:tc>
          <w:tcPr>
            <w:tcW w:w="2718" w:type="dxa"/>
          </w:tcPr>
          <w:p w14:paraId="4DB6FF67" w14:textId="402105F9" w:rsidR="00AD706B" w:rsidRDefault="00083D2D" w:rsidP="00083D2D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  <w:r w:rsidR="008D52E5">
              <w:rPr>
                <w:b/>
              </w:rPr>
              <w:t xml:space="preserve"> </w:t>
            </w:r>
          </w:p>
        </w:tc>
        <w:tc>
          <w:tcPr>
            <w:tcW w:w="6858" w:type="dxa"/>
            <w:gridSpan w:val="3"/>
          </w:tcPr>
          <w:p w14:paraId="6CFBEFA0" w14:textId="4DEEEF62" w:rsidR="00AD706B" w:rsidRDefault="00BC1255" w:rsidP="00967948">
            <w:pPr>
              <w:pStyle w:val="NoSpacing"/>
            </w:pPr>
            <w:r>
              <w:t>P</w:t>
            </w:r>
            <w:r w:rsidR="00083D2D">
              <w:t>ay for Performance (P</w:t>
            </w:r>
            <w:r>
              <w:t>4P</w:t>
            </w:r>
            <w:r w:rsidR="00083D2D">
              <w:t>)</w:t>
            </w:r>
            <w:r w:rsidR="00967948">
              <w:t xml:space="preserve"> </w:t>
            </w:r>
            <w:r w:rsidR="00083D2D">
              <w:t>–</w:t>
            </w:r>
            <w:r w:rsidR="009814D6">
              <w:t xml:space="preserve"> </w:t>
            </w:r>
            <w:r w:rsidR="008D52E5">
              <w:t>I</w:t>
            </w:r>
            <w:r w:rsidR="00083D2D">
              <w:t>mprovement Over Self (I</w:t>
            </w:r>
            <w:r w:rsidR="008D52E5">
              <w:t>OS</w:t>
            </w:r>
            <w:r w:rsidR="00083D2D"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9814D6" w:rsidRPr="008331B0" w14:paraId="18B935BD" w14:textId="77777777" w:rsidTr="008331B0">
              <w:tc>
                <w:tcPr>
                  <w:tcW w:w="2209" w:type="dxa"/>
                </w:tcPr>
                <w:p w14:paraId="01DB5344" w14:textId="77777777" w:rsidR="009814D6" w:rsidRPr="008331B0" w:rsidRDefault="009814D6" w:rsidP="008331B0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5615F646" w14:textId="77777777" w:rsidR="009814D6" w:rsidRPr="008331B0" w:rsidRDefault="009814D6" w:rsidP="008331B0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2395B978" w14:textId="626258D8" w:rsidR="009814D6" w:rsidRPr="008331B0" w:rsidRDefault="009814D6" w:rsidP="008331B0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41F8F980" w14:textId="77777777" w:rsidR="009814D6" w:rsidRPr="008331B0" w:rsidRDefault="009814D6" w:rsidP="008331B0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0788733A" w14:textId="71F732ED" w:rsidR="009814D6" w:rsidRPr="008331B0" w:rsidRDefault="009814D6" w:rsidP="008331B0">
                  <w:pPr>
                    <w:pStyle w:val="NoSpacing"/>
                    <w:jc w:val="center"/>
                  </w:pPr>
                </w:p>
              </w:tc>
            </w:tr>
            <w:tr w:rsidR="009814D6" w:rsidRPr="008331B0" w14:paraId="2CF89A2E" w14:textId="77777777" w:rsidTr="008331B0">
              <w:tc>
                <w:tcPr>
                  <w:tcW w:w="2209" w:type="dxa"/>
                </w:tcPr>
                <w:p w14:paraId="144F59F2" w14:textId="40E848B3" w:rsidR="009814D6" w:rsidRPr="008331B0" w:rsidRDefault="009814D6" w:rsidP="008331B0">
                  <w:pPr>
                    <w:pStyle w:val="NoSpacing"/>
                    <w:jc w:val="center"/>
                  </w:pPr>
                  <w:r>
                    <w:t>Achievement Level</w:t>
                  </w:r>
                  <w:r w:rsidR="00083D2D">
                    <w:t xml:space="preserve"> Calculation</w:t>
                  </w:r>
                </w:p>
              </w:tc>
              <w:tc>
                <w:tcPr>
                  <w:tcW w:w="2209" w:type="dxa"/>
                </w:tcPr>
                <w:p w14:paraId="433A5AED" w14:textId="07039D5D" w:rsidR="009814D6" w:rsidRPr="008331B0" w:rsidRDefault="009814D6" w:rsidP="008331B0">
                  <w:pPr>
                    <w:pStyle w:val="NoSpacing"/>
                    <w:jc w:val="center"/>
                  </w:pPr>
                  <w:r w:rsidRPr="009814D6">
                    <w:t>(Baseline) - (Baseline * 5%)</w:t>
                  </w:r>
                </w:p>
              </w:tc>
              <w:tc>
                <w:tcPr>
                  <w:tcW w:w="2209" w:type="dxa"/>
                </w:tcPr>
                <w:p w14:paraId="30BF10E9" w14:textId="52B1D96B" w:rsidR="009814D6" w:rsidRPr="008331B0" w:rsidRDefault="009814D6" w:rsidP="008331B0">
                  <w:pPr>
                    <w:pStyle w:val="NoSpacing"/>
                    <w:jc w:val="center"/>
                  </w:pPr>
                  <w:r w:rsidRPr="009814D6">
                    <w:t>(Baseline) - (Baseline * 10%)</w:t>
                  </w:r>
                </w:p>
              </w:tc>
            </w:tr>
          </w:tbl>
          <w:p w14:paraId="0070F328" w14:textId="77777777" w:rsidR="009814D6" w:rsidRDefault="009814D6" w:rsidP="00967948">
            <w:pPr>
              <w:pStyle w:val="NoSpacing"/>
            </w:pPr>
          </w:p>
        </w:tc>
      </w:tr>
      <w:tr w:rsidR="00AD706B" w14:paraId="285A60A4" w14:textId="77777777" w:rsidTr="00A374B8">
        <w:tc>
          <w:tcPr>
            <w:tcW w:w="2718" w:type="dxa"/>
          </w:tcPr>
          <w:p w14:paraId="3D76D4A3" w14:textId="1824BF3E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  <w:gridSpan w:val="3"/>
          </w:tcPr>
          <w:p w14:paraId="12C8470C" w14:textId="77777777" w:rsidR="009F78A7" w:rsidRDefault="00787EA0" w:rsidP="00787EA0">
            <w:pPr>
              <w:pStyle w:val="NoSpacing"/>
            </w:pPr>
            <w:r>
              <w:t>None</w:t>
            </w:r>
          </w:p>
        </w:tc>
      </w:tr>
      <w:tr w:rsidR="00AD706B" w14:paraId="20890CC9" w14:textId="77777777" w:rsidTr="00A374B8">
        <w:tc>
          <w:tcPr>
            <w:tcW w:w="2718" w:type="dxa"/>
          </w:tcPr>
          <w:p w14:paraId="2E3A3FC8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  <w:gridSpan w:val="3"/>
          </w:tcPr>
          <w:p w14:paraId="0BADAB15" w14:textId="113D667F" w:rsidR="00AD706B" w:rsidRPr="009F7E66" w:rsidRDefault="00423A48" w:rsidP="00E56DE5">
            <w:pPr>
              <w:pStyle w:val="NoSpacing"/>
            </w:pPr>
            <w:r w:rsidRPr="00423A48">
              <w:t>This measure applies to providers within a reported clinic and/or department</w:t>
            </w:r>
            <w:r w:rsidR="00E04B4F">
              <w:t>.</w:t>
            </w:r>
            <w:r w:rsidRPr="00423A48">
              <w:t xml:space="preserve"> </w:t>
            </w:r>
          </w:p>
        </w:tc>
      </w:tr>
      <w:tr w:rsidR="00B05CBF" w14:paraId="7C608A6B" w14:textId="77777777" w:rsidTr="00B05CBF">
        <w:trPr>
          <w:trHeight w:val="728"/>
        </w:trPr>
        <w:tc>
          <w:tcPr>
            <w:tcW w:w="2718" w:type="dxa"/>
          </w:tcPr>
          <w:p w14:paraId="44BC51C9" w14:textId="77777777"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  <w:gridSpan w:val="3"/>
          </w:tcPr>
          <w:p w14:paraId="079A72E6" w14:textId="77777777" w:rsidR="00423A48" w:rsidRDefault="00423A48" w:rsidP="00423A48">
            <w:pPr>
              <w:pStyle w:val="NoSpacing"/>
            </w:pPr>
            <w:r>
              <w:t>Providers:</w:t>
            </w:r>
          </w:p>
          <w:p w14:paraId="4B36A417" w14:textId="77777777" w:rsidR="00423A48" w:rsidRDefault="00423A48" w:rsidP="00423A48">
            <w:pPr>
              <w:pStyle w:val="NoSpacing"/>
              <w:numPr>
                <w:ilvl w:val="0"/>
                <w:numId w:val="10"/>
              </w:numPr>
            </w:pPr>
            <w:r>
              <w:t>All providers are included. Full-time and part-time providers are included, regardless of the number of hours s/he practices per week.</w:t>
            </w:r>
          </w:p>
          <w:p w14:paraId="0A41EB96" w14:textId="77777777" w:rsidR="00423A48" w:rsidRDefault="00423A48" w:rsidP="00423A48">
            <w:pPr>
              <w:pStyle w:val="NoSpacing"/>
              <w:numPr>
                <w:ilvl w:val="1"/>
                <w:numId w:val="10"/>
              </w:numPr>
            </w:pPr>
            <w:r>
              <w:t>Providers who truly job share are counted as one provider (i.e., they share one schedule, and/or they work separate day and share coverage of one practice).</w:t>
            </w:r>
          </w:p>
          <w:p w14:paraId="1DF79C2E" w14:textId="0687859D" w:rsidR="00423A48" w:rsidRDefault="00423A48" w:rsidP="00423A48">
            <w:pPr>
              <w:pStyle w:val="NoSpacing"/>
              <w:numPr>
                <w:ilvl w:val="1"/>
                <w:numId w:val="10"/>
              </w:numPr>
            </w:pPr>
            <w:r>
              <w:t xml:space="preserve">When measuring a care team, each member of the care team is counted separately (i.e., </w:t>
            </w:r>
            <w:r w:rsidR="00C67F39">
              <w:t>physician</w:t>
            </w:r>
            <w:r>
              <w:t>, N</w:t>
            </w:r>
            <w:r w:rsidR="00C67F39">
              <w:t xml:space="preserve">urse </w:t>
            </w:r>
            <w:r>
              <w:t>P</w:t>
            </w:r>
            <w:r w:rsidR="00C67F39">
              <w:t>ractitioner</w:t>
            </w:r>
            <w:r>
              <w:t>, P</w:t>
            </w:r>
            <w:r w:rsidR="00C67F39">
              <w:t xml:space="preserve">hysician </w:t>
            </w:r>
            <w:r>
              <w:t>A</w:t>
            </w:r>
            <w:r w:rsidR="00C67F39">
              <w:t>ssistant</w:t>
            </w:r>
            <w:r>
              <w:t>).</w:t>
            </w:r>
          </w:p>
          <w:p w14:paraId="3F2F5D83" w14:textId="77777777" w:rsidR="00423A48" w:rsidRDefault="00423A48" w:rsidP="00423A48">
            <w:pPr>
              <w:pStyle w:val="NoSpacing"/>
              <w:numPr>
                <w:ilvl w:val="1"/>
                <w:numId w:val="10"/>
              </w:numPr>
            </w:pPr>
            <w:r>
              <w:t>If a provider is practicing in a specialty other than the one which s/he is board certified, the provider should be included in the specialty in which s/he is practicing.</w:t>
            </w:r>
          </w:p>
          <w:p w14:paraId="17234B66" w14:textId="77777777" w:rsidR="00423A48" w:rsidRDefault="00423A48" w:rsidP="00423A48">
            <w:pPr>
              <w:pStyle w:val="NoSpacing"/>
              <w:numPr>
                <w:ilvl w:val="1"/>
                <w:numId w:val="10"/>
              </w:numPr>
            </w:pPr>
            <w:r>
              <w:t>For providers practicing at more than 1 location, measure days to third next available for only the provider's primary location as long as the provider is at that location 51%+ of their time.</w:t>
            </w:r>
          </w:p>
          <w:p w14:paraId="4010559B" w14:textId="77777777" w:rsidR="00423A48" w:rsidRDefault="00423A48" w:rsidP="00423A48">
            <w:pPr>
              <w:pStyle w:val="NoSpacing"/>
              <w:numPr>
                <w:ilvl w:val="1"/>
                <w:numId w:val="10"/>
              </w:numPr>
            </w:pPr>
            <w:r>
              <w:t>New providers who started seeing patients during the reporting period and have an active schedule should be included.</w:t>
            </w:r>
          </w:p>
          <w:p w14:paraId="4DB0F512" w14:textId="77777777" w:rsidR="00423A48" w:rsidRDefault="00423A48" w:rsidP="00423A48">
            <w:pPr>
              <w:pStyle w:val="NoSpacing"/>
              <w:numPr>
                <w:ilvl w:val="0"/>
                <w:numId w:val="10"/>
              </w:numPr>
            </w:pPr>
            <w:r>
              <w:t>Locums are included in the measure only if they are assigned to a specific site for an extended period of time (greater than 4 weeks) and provide continuity care to a panel of patients.</w:t>
            </w:r>
          </w:p>
          <w:p w14:paraId="18B6A49C" w14:textId="3CDB11A0" w:rsidR="00423A48" w:rsidRDefault="00423A48" w:rsidP="00423A48">
            <w:pPr>
              <w:pStyle w:val="NoSpacing"/>
              <w:numPr>
                <w:ilvl w:val="0"/>
                <w:numId w:val="10"/>
              </w:numPr>
            </w:pPr>
            <w:r>
              <w:t>Mid-Level providers are included in the measure (N</w:t>
            </w:r>
            <w:r w:rsidR="00C67F39">
              <w:t xml:space="preserve">urse </w:t>
            </w:r>
            <w:r>
              <w:t>P</w:t>
            </w:r>
            <w:r w:rsidR="00C67F39">
              <w:t>ractitioner</w:t>
            </w:r>
            <w:r>
              <w:t>, P</w:t>
            </w:r>
            <w:r w:rsidR="00C67F39">
              <w:t xml:space="preserve">hysician </w:t>
            </w:r>
            <w:r>
              <w:t>A</w:t>
            </w:r>
            <w:r w:rsidR="00C67F39">
              <w:t>ssistant</w:t>
            </w:r>
            <w:r>
              <w:t>, C</w:t>
            </w:r>
            <w:r w:rsidR="00C67F39">
              <w:t xml:space="preserve">ertified </w:t>
            </w:r>
            <w:r>
              <w:t>N</w:t>
            </w:r>
            <w:r w:rsidR="00C67F39">
              <w:t xml:space="preserve">urse </w:t>
            </w:r>
            <w:r>
              <w:t>M</w:t>
            </w:r>
            <w:r w:rsidR="00C67F39">
              <w:t>idwife</w:t>
            </w:r>
            <w:r>
              <w:t>).</w:t>
            </w:r>
          </w:p>
          <w:p w14:paraId="31D5ABD2" w14:textId="77777777" w:rsidR="00423A48" w:rsidRDefault="00423A48" w:rsidP="00423A48">
            <w:pPr>
              <w:pStyle w:val="NoSpacing"/>
              <w:numPr>
                <w:ilvl w:val="1"/>
                <w:numId w:val="10"/>
              </w:numPr>
            </w:pPr>
            <w:r>
              <w:t xml:space="preserve">Mid-Level providers should have continuity practice and </w:t>
            </w:r>
            <w:r>
              <w:lastRenderedPageBreak/>
              <w:t>their own schedule available to see patients.</w:t>
            </w:r>
          </w:p>
          <w:p w14:paraId="6D2D6523" w14:textId="77777777" w:rsidR="00423A48" w:rsidRDefault="00423A48" w:rsidP="00423A48">
            <w:pPr>
              <w:pStyle w:val="NoSpacing"/>
              <w:numPr>
                <w:ilvl w:val="0"/>
                <w:numId w:val="10"/>
              </w:numPr>
            </w:pPr>
            <w:r>
              <w:t>Resident Providers are to be included if they have an active schedule AND are considered a Primary Care Provider within the organization.</w:t>
            </w:r>
          </w:p>
          <w:p w14:paraId="018DE55B" w14:textId="77777777" w:rsidR="00423A48" w:rsidRDefault="00423A48" w:rsidP="00423A48">
            <w:pPr>
              <w:pStyle w:val="NoSpacing"/>
              <w:numPr>
                <w:ilvl w:val="0"/>
                <w:numId w:val="10"/>
              </w:numPr>
            </w:pPr>
            <w:r>
              <w:t>Providers with closed practices should be included. They still have to schedule their current patients. In addition, it may not be clear when they start seeing new patients again.</w:t>
            </w:r>
          </w:p>
          <w:p w14:paraId="3BA48E6E" w14:textId="77777777" w:rsidR="00423A48" w:rsidRDefault="00423A48" w:rsidP="00423A48">
            <w:pPr>
              <w:pStyle w:val="NoSpacing"/>
              <w:ind w:left="720"/>
            </w:pPr>
          </w:p>
          <w:p w14:paraId="32F8D88C" w14:textId="77777777" w:rsidR="00423A48" w:rsidRDefault="00423A48" w:rsidP="00423A48">
            <w:pPr>
              <w:pStyle w:val="NoSpacing"/>
            </w:pPr>
            <w:r>
              <w:t>Departments:</w:t>
            </w:r>
          </w:p>
          <w:p w14:paraId="0F9835D9" w14:textId="77777777" w:rsidR="00C609AC" w:rsidRDefault="00423A48" w:rsidP="00423A48">
            <w:pPr>
              <w:pStyle w:val="NoSpacing"/>
              <w:numPr>
                <w:ilvl w:val="0"/>
                <w:numId w:val="11"/>
              </w:numPr>
            </w:pPr>
            <w:r>
              <w:t>Primary Care</w:t>
            </w:r>
          </w:p>
          <w:p w14:paraId="5D568824" w14:textId="77777777" w:rsidR="00C609AC" w:rsidRDefault="00423A48" w:rsidP="00423A48">
            <w:pPr>
              <w:pStyle w:val="NoSpacing"/>
              <w:numPr>
                <w:ilvl w:val="1"/>
                <w:numId w:val="11"/>
              </w:numPr>
            </w:pPr>
            <w:r>
              <w:t>General Internal Medicine</w:t>
            </w:r>
          </w:p>
          <w:p w14:paraId="5BB1C3C3" w14:textId="77777777" w:rsidR="00C609AC" w:rsidRDefault="00423A48" w:rsidP="00423A48">
            <w:pPr>
              <w:pStyle w:val="NoSpacing"/>
              <w:numPr>
                <w:ilvl w:val="1"/>
                <w:numId w:val="11"/>
              </w:numPr>
            </w:pPr>
            <w:r>
              <w:t>Family Practice</w:t>
            </w:r>
          </w:p>
          <w:p w14:paraId="4DB00541" w14:textId="77777777" w:rsidR="00C609AC" w:rsidRDefault="00423A48" w:rsidP="00423A48">
            <w:pPr>
              <w:pStyle w:val="NoSpacing"/>
              <w:numPr>
                <w:ilvl w:val="1"/>
                <w:numId w:val="11"/>
              </w:numPr>
            </w:pPr>
            <w:r>
              <w:t>Pediatrics with the focus on generalists, not specialists</w:t>
            </w:r>
          </w:p>
          <w:p w14:paraId="74C65A4A" w14:textId="4A0290A6" w:rsidR="00423A48" w:rsidRDefault="00C67F39" w:rsidP="00423A48">
            <w:pPr>
              <w:pStyle w:val="NoSpacing"/>
              <w:numPr>
                <w:ilvl w:val="1"/>
                <w:numId w:val="11"/>
              </w:numPr>
            </w:pPr>
            <w:r>
              <w:t>Internal Medicine – Pediatrics (</w:t>
            </w:r>
            <w:r w:rsidR="00423A48">
              <w:t>Med/Peds</w:t>
            </w:r>
            <w:r>
              <w:t>)</w:t>
            </w:r>
            <w:r w:rsidR="00423A48">
              <w:t xml:space="preserve"> (physicians who see both adults and children)</w:t>
            </w:r>
          </w:p>
          <w:p w14:paraId="7882B440" w14:textId="77777777" w:rsidR="00C609AC" w:rsidRDefault="00423A48" w:rsidP="00423A48">
            <w:pPr>
              <w:pStyle w:val="NoSpacing"/>
              <w:numPr>
                <w:ilvl w:val="0"/>
                <w:numId w:val="11"/>
              </w:numPr>
            </w:pPr>
            <w:r>
              <w:t>Specialty Care</w:t>
            </w:r>
          </w:p>
          <w:p w14:paraId="494A06B1" w14:textId="77777777" w:rsidR="00C609AC" w:rsidRDefault="00423A48" w:rsidP="00423A48">
            <w:pPr>
              <w:pStyle w:val="NoSpacing"/>
              <w:numPr>
                <w:ilvl w:val="1"/>
                <w:numId w:val="11"/>
              </w:numPr>
            </w:pPr>
            <w:r>
              <w:t>Obstetrics</w:t>
            </w:r>
          </w:p>
          <w:p w14:paraId="37EF8F7D" w14:textId="181D824C" w:rsidR="00B05CBF" w:rsidRPr="00C609AC" w:rsidRDefault="00423A48" w:rsidP="00C67F39">
            <w:pPr>
              <w:pStyle w:val="NoSpacing"/>
              <w:numPr>
                <w:ilvl w:val="2"/>
                <w:numId w:val="11"/>
              </w:numPr>
            </w:pPr>
            <w:r>
              <w:t xml:space="preserve">Physical exam - New </w:t>
            </w:r>
            <w:r w:rsidR="00C67F39">
              <w:t xml:space="preserve">obstetrics </w:t>
            </w:r>
            <w:r>
              <w:t>visit</w:t>
            </w:r>
          </w:p>
        </w:tc>
      </w:tr>
      <w:tr w:rsidR="00B05CBF" w14:paraId="792AFCBE" w14:textId="77777777" w:rsidTr="00B05CBF">
        <w:trPr>
          <w:trHeight w:val="710"/>
        </w:trPr>
        <w:tc>
          <w:tcPr>
            <w:tcW w:w="2718" w:type="dxa"/>
          </w:tcPr>
          <w:p w14:paraId="1EAB2D2C" w14:textId="77777777"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Denominator Exclusions</w:t>
            </w:r>
          </w:p>
        </w:tc>
        <w:tc>
          <w:tcPr>
            <w:tcW w:w="6858" w:type="dxa"/>
            <w:gridSpan w:val="3"/>
          </w:tcPr>
          <w:p w14:paraId="27F0C608" w14:textId="77777777" w:rsidR="00C609AC" w:rsidRDefault="00C609AC" w:rsidP="00C609AC">
            <w:pPr>
              <w:pStyle w:val="NoSpacing"/>
              <w:numPr>
                <w:ilvl w:val="0"/>
                <w:numId w:val="13"/>
              </w:numPr>
            </w:pPr>
            <w:r>
              <w:t>Exclude clinicians who do not practice for an extended period of time (greater than 4 weeks) due to maternity leave, sabbatical, family medical leave.</w:t>
            </w:r>
          </w:p>
          <w:p w14:paraId="5AE9DA9A" w14:textId="77777777" w:rsidR="00C609AC" w:rsidRDefault="00C609AC" w:rsidP="00C609AC">
            <w:pPr>
              <w:pStyle w:val="NoSpacing"/>
              <w:numPr>
                <w:ilvl w:val="0"/>
                <w:numId w:val="13"/>
              </w:numPr>
            </w:pPr>
            <w:r>
              <w:t>Mid-Level providers who function only as an "extender," overflow to another practice, or urgent care should not be included.</w:t>
            </w:r>
          </w:p>
          <w:p w14:paraId="58741A8A" w14:textId="77777777" w:rsidR="00B05CBF" w:rsidRPr="001D6BEA" w:rsidRDefault="00C609AC" w:rsidP="00C609AC">
            <w:pPr>
              <w:pStyle w:val="NoSpacing"/>
              <w:numPr>
                <w:ilvl w:val="0"/>
                <w:numId w:val="13"/>
              </w:numPr>
            </w:pPr>
            <w:r>
              <w:t>Exclude Resident Providers if they are not considered a Primary Care Provider, have an inconsistent schedule, and a restricted patient panel.</w:t>
            </w:r>
          </w:p>
        </w:tc>
      </w:tr>
      <w:tr w:rsidR="00D63CD3" w14:paraId="22E4D481" w14:textId="77777777" w:rsidTr="00A374B8">
        <w:tc>
          <w:tcPr>
            <w:tcW w:w="2718" w:type="dxa"/>
          </w:tcPr>
          <w:p w14:paraId="012EF259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  <w:gridSpan w:val="3"/>
          </w:tcPr>
          <w:p w14:paraId="0113F469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75941CD6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4E232806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35C35D73" w14:textId="3F1C622B" w:rsidR="0032246B" w:rsidRPr="001D6BEA" w:rsidRDefault="0032246B" w:rsidP="007A6E03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7A6E03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798CB94F" w14:textId="77777777" w:rsidTr="00A374B8">
        <w:tc>
          <w:tcPr>
            <w:tcW w:w="2718" w:type="dxa"/>
          </w:tcPr>
          <w:p w14:paraId="3FB91688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6858" w:type="dxa"/>
            <w:gridSpan w:val="3"/>
          </w:tcPr>
          <w:p w14:paraId="3AA225B1" w14:textId="21863812" w:rsidR="00AC3A97" w:rsidRPr="009F7E66" w:rsidRDefault="00C609AC" w:rsidP="00AF103E">
            <w:pPr>
              <w:pStyle w:val="NoSpacing"/>
            </w:pPr>
            <w:r w:rsidRPr="00C609AC">
              <w:rPr>
                <w:i/>
              </w:rPr>
              <w:t>Continuous variable statement</w:t>
            </w:r>
            <w:r w:rsidRPr="00C609AC">
              <w:t>: Average number of days to third next available appointment for an office visit for each clinic and/or department</w:t>
            </w:r>
            <w:r w:rsidR="00F175F3">
              <w:t xml:space="preserve">. </w:t>
            </w:r>
            <w:r w:rsidR="00F175F3" w:rsidRPr="00C609AC">
              <w:t xml:space="preserve">The measure will take into account calendar days, including </w:t>
            </w:r>
            <w:r w:rsidR="00F175F3" w:rsidRPr="00C609AC">
              <w:lastRenderedPageBreak/>
              <w:t>weekends, holidays and clinician days off.</w:t>
            </w:r>
          </w:p>
        </w:tc>
      </w:tr>
      <w:tr w:rsidR="00AC3A97" w14:paraId="3131D0D3" w14:textId="77777777" w:rsidTr="00A374B8">
        <w:tc>
          <w:tcPr>
            <w:tcW w:w="2718" w:type="dxa"/>
          </w:tcPr>
          <w:p w14:paraId="26AE0CE1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Numerator Inclusions</w:t>
            </w:r>
          </w:p>
        </w:tc>
        <w:tc>
          <w:tcPr>
            <w:tcW w:w="6858" w:type="dxa"/>
            <w:gridSpan w:val="3"/>
          </w:tcPr>
          <w:p w14:paraId="7E30CCE8" w14:textId="1E9A9F0F" w:rsidR="00AC3A97" w:rsidRPr="00C609AC" w:rsidRDefault="00F175F3" w:rsidP="00F175F3">
            <w:pPr>
              <w:pStyle w:val="NoSpacing"/>
            </w:pPr>
            <w:r>
              <w:t>The Measure Steward does not identify specific numerator inclusions beyond what is described in the numerator description.</w:t>
            </w:r>
          </w:p>
        </w:tc>
      </w:tr>
      <w:tr w:rsidR="00AC3A97" w14:paraId="44FAD76D" w14:textId="77777777" w:rsidTr="00A374B8">
        <w:tc>
          <w:tcPr>
            <w:tcW w:w="2718" w:type="dxa"/>
          </w:tcPr>
          <w:p w14:paraId="5F2501E5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  <w:gridSpan w:val="3"/>
          </w:tcPr>
          <w:p w14:paraId="29C6A6D4" w14:textId="77777777" w:rsidR="00AC3A97" w:rsidRPr="001D6BEA" w:rsidRDefault="009F04D0" w:rsidP="002E14AF">
            <w:pPr>
              <w:pStyle w:val="NoSpacing"/>
            </w:pPr>
            <w:r>
              <w:t>The Measure Steward does not identify specific numerator exclusions beyond what is described</w:t>
            </w:r>
            <w:r w:rsidR="00C609AC">
              <w:t xml:space="preserve"> in the numerator description.</w:t>
            </w:r>
          </w:p>
        </w:tc>
      </w:tr>
      <w:tr w:rsidR="00AD706B" w14:paraId="055E59E4" w14:textId="77777777" w:rsidTr="00A374B8">
        <w:tc>
          <w:tcPr>
            <w:tcW w:w="2718" w:type="dxa"/>
          </w:tcPr>
          <w:p w14:paraId="66274437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  <w:gridSpan w:val="3"/>
          </w:tcPr>
          <w:p w14:paraId="0B70E719" w14:textId="77777777" w:rsidR="00AD706B" w:rsidRDefault="00C609AC" w:rsidP="00CD7069">
            <w:pPr>
              <w:pStyle w:val="NoSpacing"/>
            </w:pPr>
            <w:r>
              <w:t>Ambulatory</w:t>
            </w:r>
          </w:p>
        </w:tc>
      </w:tr>
      <w:tr w:rsidR="00AD706B" w14:paraId="595E6D75" w14:textId="77777777" w:rsidTr="00A374B8">
        <w:tc>
          <w:tcPr>
            <w:tcW w:w="2718" w:type="dxa"/>
          </w:tcPr>
          <w:p w14:paraId="0FAB2EF6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  <w:gridSpan w:val="3"/>
          </w:tcPr>
          <w:p w14:paraId="35355082" w14:textId="42D73639" w:rsidR="00AD706B" w:rsidRDefault="007A6E03" w:rsidP="00AF3A3D">
            <w:pPr>
              <w:pStyle w:val="NoSpacing"/>
            </w:pPr>
            <w:r>
              <w:t>Administrative Data</w:t>
            </w:r>
          </w:p>
        </w:tc>
      </w:tr>
      <w:tr w:rsidR="00AD706B" w14:paraId="4F5ACFDC" w14:textId="77777777" w:rsidTr="00A374B8">
        <w:tc>
          <w:tcPr>
            <w:tcW w:w="2718" w:type="dxa"/>
          </w:tcPr>
          <w:p w14:paraId="169A005E" w14:textId="264DBC1D" w:rsidR="00AD706B" w:rsidRPr="00717546" w:rsidRDefault="00D6528B" w:rsidP="00D6528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Allowable </w:t>
            </w:r>
            <w:r w:rsidR="00416E44">
              <w:rPr>
                <w:b/>
              </w:rPr>
              <w:t xml:space="preserve">Denominator </w:t>
            </w:r>
            <w:r w:rsidR="008D1A8E">
              <w:rPr>
                <w:b/>
              </w:rPr>
              <w:t>Sub-set</w:t>
            </w:r>
            <w:r>
              <w:rPr>
                <w:b/>
              </w:rPr>
              <w:t>s</w:t>
            </w:r>
            <w:r w:rsidR="008D1A8E">
              <w:rPr>
                <w:b/>
              </w:rPr>
              <w:t xml:space="preserve"> </w:t>
            </w:r>
          </w:p>
        </w:tc>
        <w:tc>
          <w:tcPr>
            <w:tcW w:w="6858" w:type="dxa"/>
            <w:gridSpan w:val="3"/>
          </w:tcPr>
          <w:p w14:paraId="236EC29C" w14:textId="1B4E078A" w:rsidR="00D6528B" w:rsidRDefault="004E0A32" w:rsidP="007A6E03">
            <w:pPr>
              <w:pStyle w:val="NoSpacing"/>
            </w:pPr>
            <w:r>
              <w:t>All denominator subsets are permissible for this outcome</w:t>
            </w:r>
          </w:p>
          <w:p w14:paraId="7A1694E3" w14:textId="2967AD8A" w:rsidR="00F927B0" w:rsidRDefault="00F927B0" w:rsidP="007F7C07">
            <w:pPr>
              <w:pStyle w:val="NoSpacing"/>
            </w:pPr>
            <w:bookmarkStart w:id="0" w:name="_GoBack"/>
            <w:bookmarkEnd w:id="0"/>
          </w:p>
        </w:tc>
      </w:tr>
      <w:tr w:rsidR="00AD706B" w14:paraId="55D1D939" w14:textId="77777777" w:rsidTr="00A374B8">
        <w:tc>
          <w:tcPr>
            <w:tcW w:w="2718" w:type="dxa"/>
          </w:tcPr>
          <w:p w14:paraId="69E50D73" w14:textId="0DDDE0E9" w:rsidR="00AD706B" w:rsidRDefault="00AD706B" w:rsidP="00A374B8">
            <w:pPr>
              <w:pStyle w:val="NoSpacing"/>
              <w:rPr>
                <w:b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</w:tcPr>
          <w:p w14:paraId="638E3C4B" w14:textId="191D63CB" w:rsidR="00AD706B" w:rsidRPr="0031250D" w:rsidRDefault="00AD706B" w:rsidP="00A374B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</w:tcPr>
          <w:p w14:paraId="7BF93DB2" w14:textId="1793AC82" w:rsidR="00AD706B" w:rsidRPr="0031250D" w:rsidRDefault="00AD706B" w:rsidP="00A374B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</w:tcPr>
          <w:p w14:paraId="39C5015B" w14:textId="51360F6D" w:rsidR="00AD706B" w:rsidRPr="0031250D" w:rsidRDefault="00AD706B" w:rsidP="00A374B8">
            <w:pPr>
              <w:pStyle w:val="NoSpacing"/>
              <w:jc w:val="center"/>
              <w:rPr>
                <w:b/>
              </w:rPr>
            </w:pPr>
          </w:p>
        </w:tc>
      </w:tr>
      <w:tr w:rsidR="00D6528B" w14:paraId="475C82E9" w14:textId="77777777" w:rsidTr="00A374B8">
        <w:tc>
          <w:tcPr>
            <w:tcW w:w="2718" w:type="dxa"/>
          </w:tcPr>
          <w:p w14:paraId="38655B45" w14:textId="1E396A70" w:rsidR="00D6528B" w:rsidRPr="0011709A" w:rsidRDefault="00D6528B" w:rsidP="007C728B">
            <w:pPr>
              <w:pStyle w:val="NoSpacing"/>
              <w:rPr>
                <w:i/>
              </w:rPr>
            </w:pPr>
          </w:p>
        </w:tc>
        <w:tc>
          <w:tcPr>
            <w:tcW w:w="2286" w:type="dxa"/>
          </w:tcPr>
          <w:p w14:paraId="3E7EE7BD" w14:textId="77777777" w:rsidR="00D6528B" w:rsidRDefault="00D6528B" w:rsidP="00886E0E">
            <w:pPr>
              <w:pStyle w:val="NoSpacing"/>
            </w:pPr>
          </w:p>
        </w:tc>
        <w:tc>
          <w:tcPr>
            <w:tcW w:w="2286" w:type="dxa"/>
          </w:tcPr>
          <w:p w14:paraId="107A6A4B" w14:textId="2B4F6506" w:rsidR="00D6528B" w:rsidRDefault="00D6528B" w:rsidP="00743628">
            <w:pPr>
              <w:pStyle w:val="NoSpacing"/>
            </w:pPr>
          </w:p>
        </w:tc>
        <w:tc>
          <w:tcPr>
            <w:tcW w:w="2286" w:type="dxa"/>
          </w:tcPr>
          <w:p w14:paraId="63B239B3" w14:textId="2C98F007" w:rsidR="00D6528B" w:rsidRDefault="00D6528B" w:rsidP="00743628">
            <w:pPr>
              <w:pStyle w:val="NoSpacing"/>
            </w:pPr>
          </w:p>
        </w:tc>
      </w:tr>
    </w:tbl>
    <w:p w14:paraId="616AD3AF" w14:textId="77777777" w:rsidR="00356CF4" w:rsidRPr="008F249E" w:rsidRDefault="00356CF4" w:rsidP="0000319C">
      <w:pPr>
        <w:pStyle w:val="Heading2"/>
      </w:pPr>
    </w:p>
    <w:sectPr w:rsidR="00356CF4" w:rsidRPr="008F249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D01F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8D1EA" w14:textId="77777777" w:rsidR="009610EE" w:rsidRDefault="009610EE" w:rsidP="00F63191">
      <w:pPr>
        <w:spacing w:after="0" w:line="240" w:lineRule="auto"/>
      </w:pPr>
      <w:r>
        <w:separator/>
      </w:r>
    </w:p>
  </w:endnote>
  <w:endnote w:type="continuationSeparator" w:id="0">
    <w:p w14:paraId="0D5B1525" w14:textId="77777777" w:rsidR="009610EE" w:rsidRDefault="009610EE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2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98231" w14:textId="77777777" w:rsidR="002E14AF" w:rsidRDefault="002E1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7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384575" w14:textId="5F8212B2" w:rsidR="00083D2D" w:rsidRDefault="00083D2D">
    <w:pPr>
      <w:pStyle w:val="Footer"/>
    </w:pPr>
    <w:r>
      <w:t>9/1</w:t>
    </w:r>
    <w:r w:rsidR="00871674">
      <w:t>8</w:t>
    </w:r>
    <w: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B53EE" w14:textId="77777777" w:rsidR="009610EE" w:rsidRDefault="009610EE" w:rsidP="00F63191">
      <w:pPr>
        <w:spacing w:after="0" w:line="240" w:lineRule="auto"/>
      </w:pPr>
      <w:r>
        <w:separator/>
      </w:r>
    </w:p>
  </w:footnote>
  <w:footnote w:type="continuationSeparator" w:id="0">
    <w:p w14:paraId="0FF27FC4" w14:textId="77777777" w:rsidR="009610EE" w:rsidRDefault="009610EE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0D55" w14:textId="655FC987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C5C"/>
    <w:multiLevelType w:val="hybridMultilevel"/>
    <w:tmpl w:val="B868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77474"/>
    <w:multiLevelType w:val="hybridMultilevel"/>
    <w:tmpl w:val="4724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86D42"/>
    <w:multiLevelType w:val="hybridMultilevel"/>
    <w:tmpl w:val="B308C3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069F6"/>
    <w:multiLevelType w:val="hybridMultilevel"/>
    <w:tmpl w:val="430C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2"/>
  </w:num>
  <w:num w:numId="5">
    <w:abstractNumId w:val="3"/>
  </w:num>
  <w:num w:numId="6">
    <w:abstractNumId w:val="8"/>
  </w:num>
  <w:num w:numId="7">
    <w:abstractNumId w:val="14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a Ketchel">
    <w15:presenceInfo w15:providerId="AD" w15:userId="S-1-5-21-565777859-672028841-965413785-11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0319C"/>
    <w:rsid w:val="00083D2D"/>
    <w:rsid w:val="000C575F"/>
    <w:rsid w:val="000D1199"/>
    <w:rsid w:val="000D5A2D"/>
    <w:rsid w:val="000E7EED"/>
    <w:rsid w:val="00100A2F"/>
    <w:rsid w:val="00107C1A"/>
    <w:rsid w:val="00112A0E"/>
    <w:rsid w:val="0011709A"/>
    <w:rsid w:val="001511DC"/>
    <w:rsid w:val="00165D76"/>
    <w:rsid w:val="001D6BEA"/>
    <w:rsid w:val="002224F0"/>
    <w:rsid w:val="00245754"/>
    <w:rsid w:val="00271E53"/>
    <w:rsid w:val="002845C2"/>
    <w:rsid w:val="002931DF"/>
    <w:rsid w:val="002E14AF"/>
    <w:rsid w:val="0032246B"/>
    <w:rsid w:val="00342781"/>
    <w:rsid w:val="00346B8D"/>
    <w:rsid w:val="00356CF4"/>
    <w:rsid w:val="00366D0B"/>
    <w:rsid w:val="00375652"/>
    <w:rsid w:val="00383516"/>
    <w:rsid w:val="003844DB"/>
    <w:rsid w:val="003A409E"/>
    <w:rsid w:val="003F4E8D"/>
    <w:rsid w:val="004117C3"/>
    <w:rsid w:val="00416E44"/>
    <w:rsid w:val="00423A48"/>
    <w:rsid w:val="004C7824"/>
    <w:rsid w:val="004E0A32"/>
    <w:rsid w:val="00502BE4"/>
    <w:rsid w:val="00506BC5"/>
    <w:rsid w:val="00527F79"/>
    <w:rsid w:val="00536799"/>
    <w:rsid w:val="005802A0"/>
    <w:rsid w:val="005857E6"/>
    <w:rsid w:val="005B79DD"/>
    <w:rsid w:val="005C70A1"/>
    <w:rsid w:val="005F4D43"/>
    <w:rsid w:val="00633FCD"/>
    <w:rsid w:val="0067139E"/>
    <w:rsid w:val="006D2D88"/>
    <w:rsid w:val="007164C7"/>
    <w:rsid w:val="00743628"/>
    <w:rsid w:val="00760D27"/>
    <w:rsid w:val="00787EA0"/>
    <w:rsid w:val="007A6E03"/>
    <w:rsid w:val="007C728B"/>
    <w:rsid w:val="007C7C85"/>
    <w:rsid w:val="007E0395"/>
    <w:rsid w:val="007F675B"/>
    <w:rsid w:val="007F7C07"/>
    <w:rsid w:val="00823868"/>
    <w:rsid w:val="00827557"/>
    <w:rsid w:val="00871674"/>
    <w:rsid w:val="008722BB"/>
    <w:rsid w:val="008779F5"/>
    <w:rsid w:val="0088642E"/>
    <w:rsid w:val="00886E0E"/>
    <w:rsid w:val="008A5405"/>
    <w:rsid w:val="008D1A8E"/>
    <w:rsid w:val="008D52E5"/>
    <w:rsid w:val="008F0411"/>
    <w:rsid w:val="008F249E"/>
    <w:rsid w:val="009610EE"/>
    <w:rsid w:val="00965A2A"/>
    <w:rsid w:val="00967948"/>
    <w:rsid w:val="009814D6"/>
    <w:rsid w:val="00994A41"/>
    <w:rsid w:val="00996DD5"/>
    <w:rsid w:val="009A13D8"/>
    <w:rsid w:val="009C6EA3"/>
    <w:rsid w:val="009F04D0"/>
    <w:rsid w:val="009F78A7"/>
    <w:rsid w:val="009F7E66"/>
    <w:rsid w:val="00A11BD9"/>
    <w:rsid w:val="00A30E5D"/>
    <w:rsid w:val="00A33981"/>
    <w:rsid w:val="00A82574"/>
    <w:rsid w:val="00AC3A97"/>
    <w:rsid w:val="00AD706B"/>
    <w:rsid w:val="00AF3A3D"/>
    <w:rsid w:val="00B05CBF"/>
    <w:rsid w:val="00B20462"/>
    <w:rsid w:val="00B546CF"/>
    <w:rsid w:val="00B65D92"/>
    <w:rsid w:val="00BA61F1"/>
    <w:rsid w:val="00BB245A"/>
    <w:rsid w:val="00BC1255"/>
    <w:rsid w:val="00BC4643"/>
    <w:rsid w:val="00C01E6F"/>
    <w:rsid w:val="00C20591"/>
    <w:rsid w:val="00C609AC"/>
    <w:rsid w:val="00C67F39"/>
    <w:rsid w:val="00C86C48"/>
    <w:rsid w:val="00C9758A"/>
    <w:rsid w:val="00CA2D3E"/>
    <w:rsid w:val="00CA4C08"/>
    <w:rsid w:val="00CC28BC"/>
    <w:rsid w:val="00CD7069"/>
    <w:rsid w:val="00D1777E"/>
    <w:rsid w:val="00D457EE"/>
    <w:rsid w:val="00D63CD3"/>
    <w:rsid w:val="00D6528B"/>
    <w:rsid w:val="00D70F9E"/>
    <w:rsid w:val="00DB7651"/>
    <w:rsid w:val="00DE014B"/>
    <w:rsid w:val="00DE660A"/>
    <w:rsid w:val="00E04B4F"/>
    <w:rsid w:val="00E43145"/>
    <w:rsid w:val="00E56DE5"/>
    <w:rsid w:val="00EB6678"/>
    <w:rsid w:val="00EF333D"/>
    <w:rsid w:val="00F05C01"/>
    <w:rsid w:val="00F069C3"/>
    <w:rsid w:val="00F06C5E"/>
    <w:rsid w:val="00F175F3"/>
    <w:rsid w:val="00F20443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A87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151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151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qualitymeasures.ahrq.gov/popups/printView.aspx?id=2391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C267-D0DE-4D07-89F8-800898B51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5B8E6-1EC8-4E26-AF85-3E72455B6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7D220E-189D-4B4A-88F2-6BDEEDD9751E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B37384-A855-4724-BEF2-344BB09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2014-09-18T21:03:00Z</dcterms:created>
  <dcterms:modified xsi:type="dcterms:W3CDTF">2014-09-18T21:03:00Z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