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5A4F" w14:textId="77777777" w:rsidR="00AD706B" w:rsidRDefault="00AD706B" w:rsidP="00AD706B">
      <w:pPr>
        <w:pStyle w:val="Heading1"/>
      </w:pPr>
      <w:r>
        <w:t>IT-</w:t>
      </w:r>
      <w:r w:rsidR="00A840EF">
        <w:t>1.13</w:t>
      </w:r>
      <w:r>
        <w:t xml:space="preserve">:  </w:t>
      </w:r>
      <w:r w:rsidR="00D6090F">
        <w:t>Diabetes</w:t>
      </w:r>
      <w:r w:rsidR="006E0DD4">
        <w:t xml:space="preserve"> Care</w:t>
      </w:r>
      <w:r w:rsidR="00D6090F">
        <w:t>: Foot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318B5A52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318B5A5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18B5A51" w14:textId="545AD13A" w:rsidR="00AD706B" w:rsidRPr="00926E42" w:rsidRDefault="00A346CC" w:rsidP="008A11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IT-1.13 </w:t>
            </w:r>
            <w:r w:rsidR="00926E42">
              <w:rPr>
                <w:b/>
              </w:rPr>
              <w:t>Diabetes</w:t>
            </w:r>
            <w:r w:rsidR="006E0DD4">
              <w:rPr>
                <w:b/>
              </w:rPr>
              <w:t xml:space="preserve"> Care</w:t>
            </w:r>
            <w:r w:rsidR="00926E42">
              <w:rPr>
                <w:b/>
              </w:rPr>
              <w:t>: Foot E</w:t>
            </w:r>
            <w:r w:rsidR="00926E42" w:rsidRPr="00926E42">
              <w:rPr>
                <w:b/>
              </w:rPr>
              <w:t>xam</w:t>
            </w:r>
          </w:p>
        </w:tc>
      </w:tr>
      <w:tr w:rsidR="00AD706B" w14:paraId="318B5A55" w14:textId="77777777" w:rsidTr="00A374B8">
        <w:tc>
          <w:tcPr>
            <w:tcW w:w="2718" w:type="dxa"/>
          </w:tcPr>
          <w:p w14:paraId="318B5A5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318B5A54" w14:textId="77777777" w:rsidR="00AD706B" w:rsidRDefault="008A116D" w:rsidP="00B05CBF">
            <w:pPr>
              <w:pStyle w:val="NoSpacing"/>
            </w:pPr>
            <w:r>
              <w:t>The percentage of patients 18-75 years of age with diabetes (type 1 and type 2) who received a foot exam (visual inspection with either a sensory exam or a pulse exam) during the measurement year.</w:t>
            </w:r>
          </w:p>
        </w:tc>
      </w:tr>
      <w:tr w:rsidR="00AD706B" w14:paraId="318B5A58" w14:textId="77777777" w:rsidTr="00A374B8">
        <w:tc>
          <w:tcPr>
            <w:tcW w:w="2718" w:type="dxa"/>
          </w:tcPr>
          <w:p w14:paraId="318B5A5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318B5A57" w14:textId="77777777" w:rsidR="00AD706B" w:rsidRDefault="008A116D" w:rsidP="00B05CBF">
            <w:pPr>
              <w:pStyle w:val="NoSpacing"/>
            </w:pPr>
            <w:r>
              <w:t>0056</w:t>
            </w:r>
          </w:p>
        </w:tc>
      </w:tr>
      <w:tr w:rsidR="00AD706B" w14:paraId="318B5A5B" w14:textId="77777777" w:rsidTr="00A374B8">
        <w:tc>
          <w:tcPr>
            <w:tcW w:w="2718" w:type="dxa"/>
          </w:tcPr>
          <w:p w14:paraId="318B5A5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318B5A5A" w14:textId="77777777" w:rsidR="00AD706B" w:rsidRPr="00631E85" w:rsidRDefault="008A116D" w:rsidP="00A374B8">
            <w:pPr>
              <w:pStyle w:val="NoSpacing"/>
            </w:pPr>
            <w:r>
              <w:t>National Committee for Quality Assurance</w:t>
            </w:r>
          </w:p>
        </w:tc>
      </w:tr>
      <w:tr w:rsidR="00AD706B" w14:paraId="318B5A5E" w14:textId="77777777" w:rsidTr="00A374B8">
        <w:tc>
          <w:tcPr>
            <w:tcW w:w="2718" w:type="dxa"/>
          </w:tcPr>
          <w:p w14:paraId="318B5A5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389342F5" w14:textId="77777777" w:rsidR="00AD706B" w:rsidRDefault="006942AC" w:rsidP="00A374B8">
            <w:pPr>
              <w:pStyle w:val="NoSpacing"/>
            </w:pPr>
            <w:hyperlink r:id="rId12" w:history="1">
              <w:r w:rsidR="00310AD6" w:rsidRPr="00A9606A">
                <w:rPr>
                  <w:rStyle w:val="Hyperlink"/>
                </w:rPr>
                <w:t>http://www.qualityforum.org/QPS/0056</w:t>
              </w:r>
            </w:hyperlink>
            <w:r w:rsidR="00310AD6">
              <w:t xml:space="preserve"> </w:t>
            </w:r>
          </w:p>
          <w:p w14:paraId="318B5A5D" w14:textId="047C8F0B" w:rsidR="005577F5" w:rsidRPr="00631E85" w:rsidRDefault="006942AC" w:rsidP="00A374B8">
            <w:pPr>
              <w:pStyle w:val="NoSpacing"/>
            </w:pPr>
            <w:hyperlink r:id="rId13" w:history="1">
              <w:r w:rsidR="005577F5" w:rsidRPr="00663485">
                <w:rPr>
                  <w:rStyle w:val="Hyperlink"/>
                </w:rPr>
                <w:t>http://www.qualitymeasures.ahrq.gov/popups/printView.aspx?id=27628</w:t>
              </w:r>
            </w:hyperlink>
          </w:p>
        </w:tc>
      </w:tr>
      <w:tr w:rsidR="00AD706B" w14:paraId="318B5A61" w14:textId="77777777" w:rsidTr="00A374B8">
        <w:tc>
          <w:tcPr>
            <w:tcW w:w="2718" w:type="dxa"/>
          </w:tcPr>
          <w:p w14:paraId="318B5A5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318B5A60" w14:textId="67EEF95E" w:rsidR="00AD706B" w:rsidRDefault="007102DF" w:rsidP="00AD706B">
            <w:pPr>
              <w:pStyle w:val="NoSpacing"/>
            </w:pPr>
            <w:r>
              <w:t>Non Stand-Alone (</w:t>
            </w:r>
            <w:r w:rsidR="00B91DE6">
              <w:t>NSA</w:t>
            </w:r>
            <w:r>
              <w:t>)</w:t>
            </w:r>
          </w:p>
        </w:tc>
      </w:tr>
      <w:tr w:rsidR="00A346CC" w14:paraId="318B5A64" w14:textId="77777777" w:rsidTr="00A374B8">
        <w:tc>
          <w:tcPr>
            <w:tcW w:w="2718" w:type="dxa"/>
          </w:tcPr>
          <w:p w14:paraId="318B5A62" w14:textId="530197A9" w:rsidR="00A346CC" w:rsidRDefault="00A346CC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580AAA02" w14:textId="77777777" w:rsidR="006942AC" w:rsidRDefault="006942AC" w:rsidP="006942AC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6942AC" w:rsidRPr="008331B0" w14:paraId="46B058FE" w14:textId="77777777" w:rsidTr="00ED2D68">
              <w:tc>
                <w:tcPr>
                  <w:tcW w:w="2209" w:type="dxa"/>
                </w:tcPr>
                <w:p w14:paraId="2C28F4C8" w14:textId="77777777" w:rsidR="006942AC" w:rsidRPr="008331B0" w:rsidRDefault="006942AC" w:rsidP="00ED2D68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3A435F45" w14:textId="77777777" w:rsidR="006942AC" w:rsidRPr="008331B0" w:rsidRDefault="006942AC" w:rsidP="00ED2D68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45AA9FE6" w14:textId="77777777" w:rsidR="006942AC" w:rsidRPr="008331B0" w:rsidRDefault="006942AC" w:rsidP="00ED2D68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3DC51F7C" w14:textId="77777777" w:rsidR="006942AC" w:rsidRPr="008331B0" w:rsidRDefault="006942AC" w:rsidP="00ED2D68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4E55A539" w14:textId="77777777" w:rsidR="006942AC" w:rsidRPr="008331B0" w:rsidRDefault="006942AC" w:rsidP="00ED2D68">
                  <w:pPr>
                    <w:pStyle w:val="NoSpacing"/>
                    <w:jc w:val="center"/>
                  </w:pPr>
                </w:p>
              </w:tc>
            </w:tr>
            <w:tr w:rsidR="006942AC" w:rsidRPr="008331B0" w14:paraId="05E23F28" w14:textId="77777777" w:rsidTr="00ED2D68">
              <w:tc>
                <w:tcPr>
                  <w:tcW w:w="2209" w:type="dxa"/>
                </w:tcPr>
                <w:p w14:paraId="7652E794" w14:textId="77777777" w:rsidR="006942AC" w:rsidRPr="008331B0" w:rsidRDefault="006942AC" w:rsidP="00ED2D68">
                  <w:pPr>
                    <w:pStyle w:val="NoSpacing"/>
                    <w:jc w:val="center"/>
                  </w:pPr>
                  <w:r>
                    <w:t>Achievement Level C</w:t>
                  </w:r>
                  <w:bookmarkStart w:id="0" w:name="_GoBack"/>
                  <w:bookmarkEnd w:id="0"/>
                  <w:r>
                    <w:t>alculation</w:t>
                  </w:r>
                </w:p>
              </w:tc>
              <w:tc>
                <w:tcPr>
                  <w:tcW w:w="2209" w:type="dxa"/>
                </w:tcPr>
                <w:p w14:paraId="658B1AC4" w14:textId="77777777" w:rsidR="006942AC" w:rsidRDefault="006942AC" w:rsidP="00ED2D68">
                  <w:pPr>
                    <w:pStyle w:val="NoSpacing"/>
                    <w:jc w:val="center"/>
                  </w:pPr>
                  <w:r w:rsidRPr="008D0FA6">
                    <w:t xml:space="preserve">Baseline + 5% *(performance gap) </w:t>
                  </w:r>
                </w:p>
                <w:p w14:paraId="248EB0BD" w14:textId="77777777" w:rsidR="006942AC" w:rsidRDefault="006942AC" w:rsidP="00ED2D68">
                  <w:pPr>
                    <w:pStyle w:val="NoSpacing"/>
                    <w:jc w:val="center"/>
                  </w:pPr>
                  <w:r w:rsidRPr="008D0FA6">
                    <w:t xml:space="preserve">= </w:t>
                  </w:r>
                </w:p>
                <w:p w14:paraId="111F0CD8" w14:textId="77777777" w:rsidR="006942AC" w:rsidRPr="008331B0" w:rsidRDefault="006942AC" w:rsidP="00ED2D68">
                  <w:pPr>
                    <w:pStyle w:val="NoSpacing"/>
                    <w:jc w:val="center"/>
                  </w:pPr>
                  <w:r w:rsidRPr="008D0FA6">
                    <w:t xml:space="preserve">Baseline + 5%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  <w:tc>
                <w:tcPr>
                  <w:tcW w:w="2209" w:type="dxa"/>
                </w:tcPr>
                <w:p w14:paraId="6F3C6733" w14:textId="77777777" w:rsidR="006942AC" w:rsidRDefault="006942AC" w:rsidP="00ED2D68">
                  <w:pPr>
                    <w:pStyle w:val="NoSpacing"/>
                    <w:jc w:val="center"/>
                  </w:pPr>
                  <w:r w:rsidRPr="008D0FA6">
                    <w:t xml:space="preserve">Baseline + 10% *(performance gap) </w:t>
                  </w:r>
                </w:p>
                <w:p w14:paraId="7B4FFA39" w14:textId="77777777" w:rsidR="006942AC" w:rsidRDefault="006942AC" w:rsidP="00ED2D68">
                  <w:pPr>
                    <w:pStyle w:val="NoSpacing"/>
                    <w:jc w:val="center"/>
                  </w:pPr>
                  <w:r w:rsidRPr="008D0FA6">
                    <w:t>=</w:t>
                  </w:r>
                </w:p>
                <w:p w14:paraId="463F4FB9" w14:textId="77777777" w:rsidR="006942AC" w:rsidRPr="008331B0" w:rsidRDefault="006942AC" w:rsidP="00ED2D68">
                  <w:pPr>
                    <w:pStyle w:val="NoSpacing"/>
                    <w:jc w:val="center"/>
                  </w:pPr>
                  <w:r w:rsidRPr="008D0FA6">
                    <w:t xml:space="preserve">Baseline + 10%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</w:tr>
          </w:tbl>
          <w:p w14:paraId="318B5A63" w14:textId="7F2408C1" w:rsidR="00A346CC" w:rsidRDefault="00A346CC" w:rsidP="00967948">
            <w:pPr>
              <w:pStyle w:val="NoSpacing"/>
            </w:pPr>
          </w:p>
        </w:tc>
      </w:tr>
      <w:tr w:rsidR="00AD706B" w14:paraId="318B5A67" w14:textId="77777777" w:rsidTr="00A374B8">
        <w:tc>
          <w:tcPr>
            <w:tcW w:w="2718" w:type="dxa"/>
          </w:tcPr>
          <w:p w14:paraId="318B5A6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318B5A66" w14:textId="77777777" w:rsidR="009F78A7" w:rsidRDefault="00B91DE6" w:rsidP="00B91DE6">
            <w:pPr>
              <w:pStyle w:val="NoSpacing"/>
            </w:pPr>
            <w:r>
              <w:t>None</w:t>
            </w:r>
          </w:p>
        </w:tc>
      </w:tr>
      <w:tr w:rsidR="00AD706B" w14:paraId="318B5A6A" w14:textId="77777777" w:rsidTr="00A374B8">
        <w:tc>
          <w:tcPr>
            <w:tcW w:w="2718" w:type="dxa"/>
          </w:tcPr>
          <w:p w14:paraId="318B5A68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318B5A69" w14:textId="77777777" w:rsidR="00AD706B" w:rsidRPr="009F7E66" w:rsidRDefault="00B91DE6" w:rsidP="001D6BEA">
            <w:pPr>
              <w:pStyle w:val="NoSpacing"/>
            </w:pPr>
            <w:r>
              <w:t>Patients 18-75 years of age by the end of the measurement year who had a diagnosis of diabetes (type 1 or type 2) during the measurement year or the year prior to the measurement year.</w:t>
            </w:r>
          </w:p>
        </w:tc>
      </w:tr>
      <w:tr w:rsidR="00B05CBF" w14:paraId="318B5A6D" w14:textId="77777777" w:rsidTr="006E0DD4">
        <w:trPr>
          <w:trHeight w:val="323"/>
        </w:trPr>
        <w:tc>
          <w:tcPr>
            <w:tcW w:w="2718" w:type="dxa"/>
          </w:tcPr>
          <w:p w14:paraId="318B5A6B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318B5A6C" w14:textId="2470D691" w:rsidR="00926E42" w:rsidRPr="00310AD6" w:rsidRDefault="00471D0C" w:rsidP="00472885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B05CBF" w14:paraId="318B5A71" w14:textId="77777777" w:rsidTr="00B05CBF">
        <w:trPr>
          <w:trHeight w:val="710"/>
        </w:trPr>
        <w:tc>
          <w:tcPr>
            <w:tcW w:w="2718" w:type="dxa"/>
          </w:tcPr>
          <w:p w14:paraId="318B5A6E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318B5A70" w14:textId="76435BB1" w:rsidR="00B05CBF" w:rsidRPr="001D6BEA" w:rsidRDefault="003B778C" w:rsidP="0021513F">
            <w:pPr>
              <w:pStyle w:val="NoSpacing"/>
            </w:pPr>
            <w:r>
              <w:t xml:space="preserve">Exclude patients with polycystic ovaries, gestational diabetes, and/or steroid induced diabetes </w:t>
            </w:r>
            <w:r w:rsidRPr="00283705">
              <w:rPr>
                <w:u w:val="single"/>
              </w:rPr>
              <w:t>WITHOUT</w:t>
            </w:r>
            <w:r>
              <w:t xml:space="preserve"> a diagnosis of Type I or Type II diabetes </w:t>
            </w:r>
            <w:r w:rsidRPr="00283705">
              <w:rPr>
                <w:u w:val="single"/>
              </w:rPr>
              <w:t>AND</w:t>
            </w:r>
            <w:r>
              <w:t xml:space="preserve"> a face-to-face encounter, in any setting, during the measurement year or the year prior to the measurement year.</w:t>
            </w:r>
          </w:p>
        </w:tc>
      </w:tr>
      <w:tr w:rsidR="00D63CD3" w14:paraId="318B5A77" w14:textId="77777777" w:rsidTr="00A374B8">
        <w:tc>
          <w:tcPr>
            <w:tcW w:w="2718" w:type="dxa"/>
          </w:tcPr>
          <w:p w14:paraId="318B5A72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318B5A73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318B5A74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318B5A75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318B5A76" w14:textId="2AAC9D24" w:rsidR="0032246B" w:rsidRPr="001D6BEA" w:rsidRDefault="0032246B" w:rsidP="00BE22DF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BE22DF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</w:t>
            </w:r>
            <w:r w:rsidR="003A409E">
              <w:lastRenderedPageBreak/>
              <w:t xml:space="preserve">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318B5A7A" w14:textId="77777777" w:rsidTr="00A374B8">
        <w:tc>
          <w:tcPr>
            <w:tcW w:w="2718" w:type="dxa"/>
          </w:tcPr>
          <w:p w14:paraId="318B5A78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318B5A79" w14:textId="51141A21" w:rsidR="00AC3A97" w:rsidRPr="009F7E66" w:rsidRDefault="00926E42" w:rsidP="00AF103E">
            <w:pPr>
              <w:pStyle w:val="NoSpacing"/>
            </w:pPr>
            <w:r>
              <w:t xml:space="preserve">Patients who received a </w:t>
            </w:r>
            <w:r w:rsidR="00471D0C">
              <w:t xml:space="preserve">comprehensive </w:t>
            </w:r>
            <w:r>
              <w:t>foot exam (visual inspection with either a sensory exam or a pulse exam) during the measurement year.</w:t>
            </w:r>
          </w:p>
        </w:tc>
      </w:tr>
      <w:tr w:rsidR="00AC3A97" w14:paraId="318B5A7D" w14:textId="77777777" w:rsidTr="00A374B8">
        <w:tc>
          <w:tcPr>
            <w:tcW w:w="2718" w:type="dxa"/>
          </w:tcPr>
          <w:p w14:paraId="318B5A7B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318B5A7C" w14:textId="28A2D429" w:rsidR="00AC3A97" w:rsidRPr="0012650D" w:rsidRDefault="00471D0C" w:rsidP="00472885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AC3A97" w14:paraId="318B5A80" w14:textId="77777777" w:rsidTr="00A374B8">
        <w:tc>
          <w:tcPr>
            <w:tcW w:w="2718" w:type="dxa"/>
          </w:tcPr>
          <w:p w14:paraId="318B5A7E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318B5A7F" w14:textId="77777777" w:rsidR="00AC3A97" w:rsidRPr="001D6BEA" w:rsidRDefault="009F04D0" w:rsidP="00E1396C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318B5A83" w14:textId="77777777" w:rsidTr="00A374B8">
        <w:tc>
          <w:tcPr>
            <w:tcW w:w="2718" w:type="dxa"/>
          </w:tcPr>
          <w:p w14:paraId="318B5A8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318B5A82" w14:textId="77777777" w:rsidR="00AD706B" w:rsidRDefault="00E1396C" w:rsidP="00CD7069">
            <w:pPr>
              <w:pStyle w:val="NoSpacing"/>
            </w:pPr>
            <w:r>
              <w:t xml:space="preserve">Ambulatory </w:t>
            </w:r>
          </w:p>
        </w:tc>
      </w:tr>
      <w:tr w:rsidR="00AD706B" w14:paraId="318B5A86" w14:textId="77777777" w:rsidTr="00A374B8">
        <w:tc>
          <w:tcPr>
            <w:tcW w:w="2718" w:type="dxa"/>
          </w:tcPr>
          <w:p w14:paraId="318B5A84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318B5A85" w14:textId="5B21A520" w:rsidR="00AD706B" w:rsidRDefault="00E1396C" w:rsidP="00BE22DF">
            <w:pPr>
              <w:pStyle w:val="NoSpacing"/>
            </w:pPr>
            <w:r>
              <w:t>Administrative claims, Electronic Clinical Data, Paper Medical Records</w:t>
            </w:r>
          </w:p>
        </w:tc>
      </w:tr>
      <w:tr w:rsidR="003B778C" w14:paraId="318B5AA5" w14:textId="77777777" w:rsidTr="00A374B8">
        <w:tc>
          <w:tcPr>
            <w:tcW w:w="2718" w:type="dxa"/>
          </w:tcPr>
          <w:p w14:paraId="318B5A87" w14:textId="09B1E79D" w:rsidR="003B778C" w:rsidRPr="00717546" w:rsidRDefault="003B778C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535B5F9A" w14:textId="77777777" w:rsidR="003B778C" w:rsidRDefault="003B778C" w:rsidP="007D6148">
            <w:pPr>
              <w:pStyle w:val="NoSpacing"/>
            </w:pPr>
            <w:r>
              <w:t>All denominator subsets are permissible for this outcome</w:t>
            </w:r>
          </w:p>
          <w:p w14:paraId="318B5AA4" w14:textId="5DC9DC04" w:rsidR="003B778C" w:rsidRDefault="003B778C" w:rsidP="007F7C07">
            <w:pPr>
              <w:pStyle w:val="NoSpacing"/>
            </w:pPr>
            <w:r>
              <w:t> </w:t>
            </w:r>
          </w:p>
        </w:tc>
      </w:tr>
    </w:tbl>
    <w:p w14:paraId="318B5AEF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B5AF7" w14:textId="77777777" w:rsidR="00226C20" w:rsidRDefault="00226C20" w:rsidP="00F63191">
      <w:pPr>
        <w:spacing w:after="0" w:line="240" w:lineRule="auto"/>
      </w:pPr>
      <w:r>
        <w:separator/>
      </w:r>
    </w:p>
  </w:endnote>
  <w:endnote w:type="continuationSeparator" w:id="0">
    <w:p w14:paraId="318B5AF8" w14:textId="77777777" w:rsidR="00226C20" w:rsidRDefault="00226C20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77FF" w14:textId="14FB2AE1" w:rsidR="00472885" w:rsidRDefault="00472885">
    <w:pPr>
      <w:pStyle w:val="Footer"/>
    </w:pPr>
    <w:r>
      <w:t>9/</w:t>
    </w:r>
    <w:r w:rsidR="00BA7EEF">
      <w:t>24</w:t>
    </w:r>
    <w:r>
      <w:t>/14</w:t>
    </w:r>
  </w:p>
  <w:p w14:paraId="318B5AFB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5AF5" w14:textId="77777777" w:rsidR="00226C20" w:rsidRDefault="00226C20" w:rsidP="00F63191">
      <w:pPr>
        <w:spacing w:after="0" w:line="240" w:lineRule="auto"/>
      </w:pPr>
      <w:r>
        <w:separator/>
      </w:r>
    </w:p>
  </w:footnote>
  <w:footnote w:type="continuationSeparator" w:id="0">
    <w:p w14:paraId="318B5AF6" w14:textId="77777777" w:rsidR="00226C20" w:rsidRDefault="00226C20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5AF9" w14:textId="39A5DA18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552B"/>
    <w:multiLevelType w:val="hybridMultilevel"/>
    <w:tmpl w:val="2C32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7EED"/>
    <w:rsid w:val="00100A2F"/>
    <w:rsid w:val="00107C1A"/>
    <w:rsid w:val="0011709A"/>
    <w:rsid w:val="00165D76"/>
    <w:rsid w:val="001D6BEA"/>
    <w:rsid w:val="00210302"/>
    <w:rsid w:val="0021513F"/>
    <w:rsid w:val="002224F0"/>
    <w:rsid w:val="00226A92"/>
    <w:rsid w:val="00226C20"/>
    <w:rsid w:val="00245754"/>
    <w:rsid w:val="00271E53"/>
    <w:rsid w:val="002845C2"/>
    <w:rsid w:val="002E14AF"/>
    <w:rsid w:val="00310AD6"/>
    <w:rsid w:val="0032246B"/>
    <w:rsid w:val="00346B8D"/>
    <w:rsid w:val="00356CF4"/>
    <w:rsid w:val="00366D0B"/>
    <w:rsid w:val="00375652"/>
    <w:rsid w:val="00383516"/>
    <w:rsid w:val="003844DB"/>
    <w:rsid w:val="003A409E"/>
    <w:rsid w:val="003B778C"/>
    <w:rsid w:val="003F4E8D"/>
    <w:rsid w:val="004003FB"/>
    <w:rsid w:val="00407E56"/>
    <w:rsid w:val="00416E44"/>
    <w:rsid w:val="00471D0C"/>
    <w:rsid w:val="00472885"/>
    <w:rsid w:val="00502BE4"/>
    <w:rsid w:val="00506BC5"/>
    <w:rsid w:val="00536799"/>
    <w:rsid w:val="005577F5"/>
    <w:rsid w:val="005802A0"/>
    <w:rsid w:val="005857E6"/>
    <w:rsid w:val="005B79DD"/>
    <w:rsid w:val="005C70A1"/>
    <w:rsid w:val="005F4D43"/>
    <w:rsid w:val="0065379D"/>
    <w:rsid w:val="006942AC"/>
    <w:rsid w:val="006E0DD4"/>
    <w:rsid w:val="007102DF"/>
    <w:rsid w:val="007164C7"/>
    <w:rsid w:val="00743628"/>
    <w:rsid w:val="00760D27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116D"/>
    <w:rsid w:val="008A5405"/>
    <w:rsid w:val="008D1A8E"/>
    <w:rsid w:val="008F0411"/>
    <w:rsid w:val="008F249E"/>
    <w:rsid w:val="00926E42"/>
    <w:rsid w:val="00965A2A"/>
    <w:rsid w:val="00967948"/>
    <w:rsid w:val="00994A41"/>
    <w:rsid w:val="00996DD5"/>
    <w:rsid w:val="009C6EA3"/>
    <w:rsid w:val="009F04D0"/>
    <w:rsid w:val="009F4E33"/>
    <w:rsid w:val="009F78A7"/>
    <w:rsid w:val="009F7E66"/>
    <w:rsid w:val="00A11BD9"/>
    <w:rsid w:val="00A346CC"/>
    <w:rsid w:val="00A82574"/>
    <w:rsid w:val="00A840EF"/>
    <w:rsid w:val="00AC3A97"/>
    <w:rsid w:val="00AD706B"/>
    <w:rsid w:val="00AF3A3D"/>
    <w:rsid w:val="00B05CBF"/>
    <w:rsid w:val="00B20462"/>
    <w:rsid w:val="00B546CF"/>
    <w:rsid w:val="00B65D92"/>
    <w:rsid w:val="00B91DE6"/>
    <w:rsid w:val="00BA61F1"/>
    <w:rsid w:val="00BA7EEF"/>
    <w:rsid w:val="00BC17F7"/>
    <w:rsid w:val="00BC4643"/>
    <w:rsid w:val="00BE22DF"/>
    <w:rsid w:val="00C01E6F"/>
    <w:rsid w:val="00C836F4"/>
    <w:rsid w:val="00C86C48"/>
    <w:rsid w:val="00C9758A"/>
    <w:rsid w:val="00CA2D3E"/>
    <w:rsid w:val="00CA4C08"/>
    <w:rsid w:val="00CC28BC"/>
    <w:rsid w:val="00CD7069"/>
    <w:rsid w:val="00D1777E"/>
    <w:rsid w:val="00D36E3A"/>
    <w:rsid w:val="00D6090F"/>
    <w:rsid w:val="00D63CD3"/>
    <w:rsid w:val="00DB7651"/>
    <w:rsid w:val="00DE660A"/>
    <w:rsid w:val="00E1396C"/>
    <w:rsid w:val="00E43145"/>
    <w:rsid w:val="00EB6678"/>
    <w:rsid w:val="00EF333D"/>
    <w:rsid w:val="00F041A4"/>
    <w:rsid w:val="00F05C01"/>
    <w:rsid w:val="00F069C3"/>
    <w:rsid w:val="00F06C5E"/>
    <w:rsid w:val="00F17199"/>
    <w:rsid w:val="00F20443"/>
    <w:rsid w:val="00F63191"/>
    <w:rsid w:val="00F64CD1"/>
    <w:rsid w:val="00F927B0"/>
    <w:rsid w:val="00FB6BEE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A34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A34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qualitymeasures.ahrq.gov/popups/printView.aspx?id=27628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005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B7B6-9AF3-489E-B746-7414AE894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65B98-1F81-4096-B87E-0203363C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408C7-6570-4B5F-A675-AC493906675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8FF9F6-781B-4414-B04E-FCE43817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2014-09-24T13:14:00Z</dcterms:created>
  <dcterms:modified xsi:type="dcterms:W3CDTF">2014-09-29T18:43:00Z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