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D73B2" w14:textId="33365820" w:rsidR="00AD706B" w:rsidRDefault="00AD706B" w:rsidP="00AD706B">
      <w:pPr>
        <w:pStyle w:val="Heading1"/>
      </w:pPr>
      <w:r>
        <w:t>IT-</w:t>
      </w:r>
      <w:r w:rsidR="006058DF">
        <w:t>1.10</w:t>
      </w:r>
      <w:r>
        <w:t xml:space="preserve">:  </w:t>
      </w:r>
      <w:r w:rsidR="006058DF" w:rsidRPr="006058DF">
        <w:t xml:space="preserve">Diabetes </w:t>
      </w:r>
      <w:r w:rsidR="00BB2921">
        <w:t>C</w:t>
      </w:r>
      <w:r w:rsidR="006058DF" w:rsidRPr="006058DF">
        <w:t xml:space="preserve">are: HbA1c </w:t>
      </w:r>
      <w:r w:rsidR="00BB2921">
        <w:t>P</w:t>
      </w:r>
      <w:r w:rsidR="006058DF" w:rsidRPr="006058DF">
        <w:t xml:space="preserve">oor </w:t>
      </w:r>
      <w:r w:rsidR="00BB2921">
        <w:t>C</w:t>
      </w:r>
      <w:r w:rsidR="006058DF" w:rsidRPr="006058DF">
        <w:t>ontrol (&gt;9.0%)</w:t>
      </w:r>
    </w:p>
    <w:tbl>
      <w:tblPr>
        <w:tblStyle w:val="TableGrid"/>
        <w:tblW w:w="0" w:type="auto"/>
        <w:tblLook w:val="04A0" w:firstRow="1" w:lastRow="0" w:firstColumn="1" w:lastColumn="0" w:noHBand="0" w:noVBand="1"/>
      </w:tblPr>
      <w:tblGrid>
        <w:gridCol w:w="2538"/>
        <w:gridCol w:w="7038"/>
      </w:tblGrid>
      <w:tr w:rsidR="00AD706B" w14:paraId="780D73B5" w14:textId="77777777" w:rsidTr="0071629B">
        <w:trPr>
          <w:tblHeader/>
        </w:trPr>
        <w:tc>
          <w:tcPr>
            <w:tcW w:w="2538" w:type="dxa"/>
            <w:shd w:val="clear" w:color="auto" w:fill="F2F2F2" w:themeFill="background1" w:themeFillShade="F2"/>
          </w:tcPr>
          <w:p w14:paraId="780D73B3" w14:textId="77777777" w:rsidR="00AD706B" w:rsidRPr="00717546" w:rsidRDefault="00AD706B" w:rsidP="00A374B8">
            <w:pPr>
              <w:pStyle w:val="NoSpacing"/>
              <w:rPr>
                <w:b/>
              </w:rPr>
            </w:pPr>
            <w:r w:rsidRPr="00717546">
              <w:rPr>
                <w:b/>
              </w:rPr>
              <w:t>Measure Title</w:t>
            </w:r>
          </w:p>
        </w:tc>
        <w:tc>
          <w:tcPr>
            <w:tcW w:w="7038" w:type="dxa"/>
            <w:shd w:val="clear" w:color="auto" w:fill="F2F2F2" w:themeFill="background1" w:themeFillShade="F2"/>
          </w:tcPr>
          <w:p w14:paraId="780D73B4" w14:textId="7BE7F5D2" w:rsidR="00AD706B" w:rsidRPr="008779F5" w:rsidRDefault="00F51BBA" w:rsidP="00B05CBF">
            <w:pPr>
              <w:pStyle w:val="NoSpacing"/>
              <w:rPr>
                <w:b/>
              </w:rPr>
            </w:pPr>
            <w:r>
              <w:rPr>
                <w:b/>
              </w:rPr>
              <w:t xml:space="preserve">IT-1.10 </w:t>
            </w:r>
            <w:r w:rsidR="00CE73EE" w:rsidRPr="00CE73EE">
              <w:rPr>
                <w:b/>
              </w:rPr>
              <w:t>Comprehensive Diabetes Care: Hemoglobin A1c (HbA1c) Poor Control (&gt;9.0%)</w:t>
            </w:r>
          </w:p>
        </w:tc>
      </w:tr>
      <w:tr w:rsidR="00AD706B" w14:paraId="780D73B8" w14:textId="77777777" w:rsidTr="0071629B">
        <w:tc>
          <w:tcPr>
            <w:tcW w:w="2538" w:type="dxa"/>
          </w:tcPr>
          <w:p w14:paraId="780D73B6" w14:textId="77777777" w:rsidR="00AD706B" w:rsidRPr="00717546" w:rsidRDefault="00AD706B" w:rsidP="00A374B8">
            <w:pPr>
              <w:pStyle w:val="NoSpacing"/>
              <w:rPr>
                <w:b/>
              </w:rPr>
            </w:pPr>
            <w:r w:rsidRPr="00717546">
              <w:rPr>
                <w:b/>
              </w:rPr>
              <w:t>Description</w:t>
            </w:r>
          </w:p>
        </w:tc>
        <w:tc>
          <w:tcPr>
            <w:tcW w:w="7038" w:type="dxa"/>
          </w:tcPr>
          <w:p w14:paraId="780D73B7" w14:textId="4D0DE26A" w:rsidR="00AD706B" w:rsidRDefault="00252A96" w:rsidP="00252A96">
            <w:pPr>
              <w:pStyle w:val="NoSpacing"/>
            </w:pPr>
            <w:r w:rsidRPr="00252A96">
              <w:t xml:space="preserve">The percentage of </w:t>
            </w:r>
            <w:r>
              <w:t>patients</w:t>
            </w:r>
            <w:r w:rsidRPr="00252A96">
              <w:t xml:space="preserve"> 18-75 years of age with diabetes (type 1 and type 2) whose most recent HbA1c level during the measurement year was greater than 9.0% (poor control) or was missing a result, or if an HbA1c test was not done during the measurement year.</w:t>
            </w:r>
          </w:p>
        </w:tc>
      </w:tr>
      <w:tr w:rsidR="00AD706B" w14:paraId="780D73BB" w14:textId="77777777" w:rsidTr="0071629B">
        <w:tc>
          <w:tcPr>
            <w:tcW w:w="2538" w:type="dxa"/>
          </w:tcPr>
          <w:p w14:paraId="780D73B9" w14:textId="77777777" w:rsidR="00AD706B" w:rsidRPr="00717546" w:rsidRDefault="00AD706B" w:rsidP="00A374B8">
            <w:pPr>
              <w:pStyle w:val="NoSpacing"/>
              <w:rPr>
                <w:b/>
              </w:rPr>
            </w:pPr>
            <w:r w:rsidRPr="00717546">
              <w:rPr>
                <w:b/>
              </w:rPr>
              <w:t>NQF Number</w:t>
            </w:r>
          </w:p>
        </w:tc>
        <w:tc>
          <w:tcPr>
            <w:tcW w:w="7038" w:type="dxa"/>
          </w:tcPr>
          <w:p w14:paraId="780D73BA" w14:textId="580105EB" w:rsidR="00AD706B" w:rsidRDefault="00C35769" w:rsidP="00B05CBF">
            <w:pPr>
              <w:pStyle w:val="NoSpacing"/>
            </w:pPr>
            <w:r>
              <w:t>59</w:t>
            </w:r>
          </w:p>
        </w:tc>
      </w:tr>
      <w:tr w:rsidR="00AD706B" w14:paraId="780D73BE" w14:textId="77777777" w:rsidTr="0071629B">
        <w:tc>
          <w:tcPr>
            <w:tcW w:w="2538" w:type="dxa"/>
          </w:tcPr>
          <w:p w14:paraId="780D73BC" w14:textId="77777777" w:rsidR="00AD706B" w:rsidRPr="00717546" w:rsidRDefault="00AD706B" w:rsidP="00A374B8">
            <w:pPr>
              <w:pStyle w:val="NoSpacing"/>
              <w:rPr>
                <w:b/>
              </w:rPr>
            </w:pPr>
            <w:r>
              <w:rPr>
                <w:b/>
              </w:rPr>
              <w:t>Measure Steward</w:t>
            </w:r>
          </w:p>
        </w:tc>
        <w:tc>
          <w:tcPr>
            <w:tcW w:w="7038" w:type="dxa"/>
          </w:tcPr>
          <w:p w14:paraId="780D73BD" w14:textId="340E1EFA" w:rsidR="00AD706B" w:rsidRPr="00631E85" w:rsidRDefault="00C35769" w:rsidP="00A374B8">
            <w:pPr>
              <w:pStyle w:val="NoSpacing"/>
            </w:pPr>
            <w:r w:rsidRPr="00C35769">
              <w:t>National Committee for Quality Assurance (NCQA)</w:t>
            </w:r>
          </w:p>
        </w:tc>
      </w:tr>
      <w:tr w:rsidR="00AD706B" w14:paraId="780D73C1" w14:textId="77777777" w:rsidTr="0071629B">
        <w:tc>
          <w:tcPr>
            <w:tcW w:w="2538" w:type="dxa"/>
          </w:tcPr>
          <w:p w14:paraId="780D73BF" w14:textId="77777777" w:rsidR="00AD706B" w:rsidRDefault="00AD706B" w:rsidP="00A374B8">
            <w:pPr>
              <w:pStyle w:val="NoSpacing"/>
              <w:rPr>
                <w:b/>
              </w:rPr>
            </w:pPr>
            <w:r>
              <w:rPr>
                <w:b/>
              </w:rPr>
              <w:t>Link to measure citation</w:t>
            </w:r>
          </w:p>
        </w:tc>
        <w:tc>
          <w:tcPr>
            <w:tcW w:w="7038" w:type="dxa"/>
          </w:tcPr>
          <w:p w14:paraId="780D73C0" w14:textId="28F8AF76" w:rsidR="00AD706B" w:rsidRPr="00631E85" w:rsidRDefault="00D5353C" w:rsidP="00561D6D">
            <w:pPr>
              <w:pStyle w:val="NoSpacing"/>
            </w:pPr>
            <w:hyperlink r:id="rId12" w:history="1">
              <w:r w:rsidR="00252A96" w:rsidRPr="00576BF1">
                <w:rPr>
                  <w:rStyle w:val="Hyperlink"/>
                </w:rPr>
                <w:t>https://www.qualityforum.org/QPS/0059</w:t>
              </w:r>
            </w:hyperlink>
            <w:r w:rsidR="00252A96">
              <w:t xml:space="preserve"> </w:t>
            </w:r>
          </w:p>
        </w:tc>
      </w:tr>
      <w:tr w:rsidR="00AD706B" w14:paraId="780D73C4" w14:textId="77777777" w:rsidTr="0071629B">
        <w:tc>
          <w:tcPr>
            <w:tcW w:w="2538" w:type="dxa"/>
          </w:tcPr>
          <w:p w14:paraId="780D73C2" w14:textId="77777777" w:rsidR="00AD706B" w:rsidRDefault="00AD706B" w:rsidP="00A374B8">
            <w:pPr>
              <w:pStyle w:val="NoSpacing"/>
              <w:rPr>
                <w:b/>
              </w:rPr>
            </w:pPr>
            <w:r>
              <w:rPr>
                <w:b/>
              </w:rPr>
              <w:t>Measure type</w:t>
            </w:r>
          </w:p>
        </w:tc>
        <w:tc>
          <w:tcPr>
            <w:tcW w:w="7038" w:type="dxa"/>
          </w:tcPr>
          <w:p w14:paraId="780D73C3" w14:textId="19FE591D" w:rsidR="00AD706B" w:rsidRDefault="00AD706B" w:rsidP="00AD706B">
            <w:pPr>
              <w:pStyle w:val="NoSpacing"/>
            </w:pPr>
            <w:r>
              <w:t>Stand-alone</w:t>
            </w:r>
            <w:r w:rsidR="00165D76">
              <w:t xml:space="preserve"> (SA)</w:t>
            </w:r>
          </w:p>
        </w:tc>
      </w:tr>
      <w:tr w:rsidR="00F51BBA" w14:paraId="780D73C7" w14:textId="77777777" w:rsidTr="0071629B">
        <w:tc>
          <w:tcPr>
            <w:tcW w:w="2538" w:type="dxa"/>
          </w:tcPr>
          <w:p w14:paraId="780D73C5" w14:textId="31970CDD" w:rsidR="00F51BBA" w:rsidRDefault="00F51BBA" w:rsidP="00D5353C">
            <w:pPr>
              <w:pStyle w:val="NoSpacing"/>
              <w:tabs>
                <w:tab w:val="right" w:pos="2322"/>
              </w:tabs>
              <w:rPr>
                <w:b/>
              </w:rPr>
            </w:pPr>
            <w:r>
              <w:rPr>
                <w:b/>
              </w:rPr>
              <w:t>Performance and Achievement Type</w:t>
            </w:r>
          </w:p>
        </w:tc>
        <w:tc>
          <w:tcPr>
            <w:tcW w:w="7038" w:type="dxa"/>
          </w:tcPr>
          <w:p w14:paraId="6E89CB6E" w14:textId="77777777" w:rsidR="00F51BBA" w:rsidRDefault="00F51BBA" w:rsidP="00283705">
            <w:pPr>
              <w:pStyle w:val="NoSpacing"/>
            </w:pPr>
            <w:r>
              <w:t>Pay for Performance (P4P) - QSMIC</w:t>
            </w:r>
          </w:p>
          <w:tbl>
            <w:tblPr>
              <w:tblStyle w:val="TableGrid"/>
              <w:tblW w:w="0" w:type="auto"/>
              <w:tblLook w:val="04A0" w:firstRow="1" w:lastRow="0" w:firstColumn="1" w:lastColumn="0" w:noHBand="0" w:noVBand="1"/>
            </w:tblPr>
            <w:tblGrid>
              <w:gridCol w:w="1880"/>
              <w:gridCol w:w="1060"/>
              <w:gridCol w:w="1846"/>
              <w:gridCol w:w="1846"/>
            </w:tblGrid>
            <w:tr w:rsidR="00F51BBA" w14:paraId="2A30FA3A" w14:textId="77777777" w:rsidTr="00283705">
              <w:tc>
                <w:tcPr>
                  <w:tcW w:w="1880" w:type="dxa"/>
                </w:tcPr>
                <w:p w14:paraId="374E249D" w14:textId="77777777" w:rsidR="00F51BBA" w:rsidRPr="00791AAE" w:rsidRDefault="00F51BBA" w:rsidP="00283705">
                  <w:pPr>
                    <w:pStyle w:val="NoSpacing"/>
                    <w:jc w:val="center"/>
                  </w:pPr>
                </w:p>
              </w:tc>
              <w:tc>
                <w:tcPr>
                  <w:tcW w:w="1060" w:type="dxa"/>
                </w:tcPr>
                <w:p w14:paraId="4BDF69C9" w14:textId="77777777" w:rsidR="00F51BBA" w:rsidRPr="00791AAE" w:rsidRDefault="00F51BBA" w:rsidP="00283705">
                  <w:pPr>
                    <w:pStyle w:val="NoSpacing"/>
                    <w:jc w:val="center"/>
                  </w:pPr>
                  <w:r>
                    <w:t>Baseline</w:t>
                  </w:r>
                </w:p>
              </w:tc>
              <w:tc>
                <w:tcPr>
                  <w:tcW w:w="1846" w:type="dxa"/>
                </w:tcPr>
                <w:p w14:paraId="54EA1A30" w14:textId="77777777" w:rsidR="00F51BBA" w:rsidRPr="00791AAE" w:rsidRDefault="00F51BBA" w:rsidP="00283705">
                  <w:pPr>
                    <w:pStyle w:val="NoSpacing"/>
                    <w:jc w:val="center"/>
                  </w:pPr>
                  <w:r w:rsidRPr="00791AAE">
                    <w:t>DY4</w:t>
                  </w:r>
                </w:p>
                <w:p w14:paraId="33FB78EF" w14:textId="77777777" w:rsidR="00F51BBA" w:rsidRPr="00791AAE" w:rsidRDefault="00F51BBA" w:rsidP="00283705">
                  <w:pPr>
                    <w:pStyle w:val="NoSpacing"/>
                    <w:jc w:val="center"/>
                  </w:pPr>
                </w:p>
              </w:tc>
              <w:tc>
                <w:tcPr>
                  <w:tcW w:w="1846" w:type="dxa"/>
                </w:tcPr>
                <w:p w14:paraId="515B25F7" w14:textId="77777777" w:rsidR="00F51BBA" w:rsidRPr="00791AAE" w:rsidRDefault="00F51BBA" w:rsidP="00283705">
                  <w:pPr>
                    <w:pStyle w:val="NoSpacing"/>
                    <w:jc w:val="center"/>
                  </w:pPr>
                  <w:r w:rsidRPr="00791AAE">
                    <w:t>DY5</w:t>
                  </w:r>
                </w:p>
                <w:p w14:paraId="30CC56F6" w14:textId="77777777" w:rsidR="00F51BBA" w:rsidRPr="00791AAE" w:rsidRDefault="00F51BBA" w:rsidP="00283705">
                  <w:pPr>
                    <w:pStyle w:val="NoSpacing"/>
                    <w:jc w:val="center"/>
                  </w:pPr>
                </w:p>
              </w:tc>
            </w:tr>
            <w:tr w:rsidR="00F51BBA" w14:paraId="5713BEA9" w14:textId="77777777" w:rsidTr="00283705">
              <w:tc>
                <w:tcPr>
                  <w:tcW w:w="1880" w:type="dxa"/>
                  <w:vMerge w:val="restart"/>
                </w:tcPr>
                <w:p w14:paraId="33FC5B43" w14:textId="77777777" w:rsidR="00F51BBA" w:rsidRPr="00791AAE" w:rsidRDefault="00F51BBA" w:rsidP="00283705">
                  <w:pPr>
                    <w:pStyle w:val="NoSpacing"/>
                    <w:jc w:val="center"/>
                  </w:pPr>
                  <w:r>
                    <w:t>Achievement Level Calculations</w:t>
                  </w:r>
                </w:p>
                <w:p w14:paraId="7345EB29" w14:textId="77777777" w:rsidR="00F51BBA" w:rsidRPr="00791AAE" w:rsidRDefault="00F51BBA" w:rsidP="00283705">
                  <w:pPr>
                    <w:pStyle w:val="NoSpacing"/>
                    <w:jc w:val="center"/>
                  </w:pPr>
                </w:p>
              </w:tc>
              <w:tc>
                <w:tcPr>
                  <w:tcW w:w="1060" w:type="dxa"/>
                </w:tcPr>
                <w:p w14:paraId="5C5B6B38" w14:textId="77777777" w:rsidR="00F51BBA" w:rsidRDefault="00F51BBA" w:rsidP="00283705">
                  <w:pPr>
                    <w:pStyle w:val="NoSpacing"/>
                    <w:jc w:val="center"/>
                  </w:pPr>
                  <w:r>
                    <w:t>Baseline below MPL</w:t>
                  </w:r>
                </w:p>
              </w:tc>
              <w:tc>
                <w:tcPr>
                  <w:tcW w:w="1846" w:type="dxa"/>
                </w:tcPr>
                <w:p w14:paraId="3A2D2FC4" w14:textId="77777777" w:rsidR="00F51BBA" w:rsidRPr="00791AAE" w:rsidRDefault="00F51BBA" w:rsidP="00283705">
                  <w:pPr>
                    <w:pStyle w:val="NoSpacing"/>
                    <w:jc w:val="center"/>
                  </w:pPr>
                  <w:r w:rsidRPr="00F2515D">
                    <w:t>MPL</w:t>
                  </w:r>
                </w:p>
              </w:tc>
              <w:tc>
                <w:tcPr>
                  <w:tcW w:w="1846" w:type="dxa"/>
                </w:tcPr>
                <w:p w14:paraId="728E45AC" w14:textId="67A97803" w:rsidR="00F51BBA" w:rsidRPr="00791AAE" w:rsidRDefault="00F51BBA" w:rsidP="00BD6219">
                  <w:pPr>
                    <w:pStyle w:val="NoSpacing"/>
                    <w:jc w:val="center"/>
                  </w:pPr>
                  <w:r w:rsidRPr="00F2515D">
                    <w:t xml:space="preserve">MPL </w:t>
                  </w:r>
                  <w:r w:rsidR="00BD6219">
                    <w:t>-</w:t>
                  </w:r>
                  <w:r w:rsidRPr="00F2515D">
                    <w:t xml:space="preserve"> 10%* (HPL-MPL)</w:t>
                  </w:r>
                </w:p>
              </w:tc>
            </w:tr>
            <w:tr w:rsidR="00F51BBA" w14:paraId="67F56F8F" w14:textId="77777777" w:rsidTr="00283705">
              <w:tc>
                <w:tcPr>
                  <w:tcW w:w="1880" w:type="dxa"/>
                  <w:vMerge/>
                </w:tcPr>
                <w:p w14:paraId="2B8637E1" w14:textId="77777777" w:rsidR="00F51BBA" w:rsidRPr="00791AAE" w:rsidRDefault="00F51BBA" w:rsidP="00283705">
                  <w:pPr>
                    <w:pStyle w:val="NoSpacing"/>
                    <w:jc w:val="center"/>
                  </w:pPr>
                </w:p>
              </w:tc>
              <w:tc>
                <w:tcPr>
                  <w:tcW w:w="1060" w:type="dxa"/>
                </w:tcPr>
                <w:p w14:paraId="571A8E73" w14:textId="77777777" w:rsidR="00F51BBA" w:rsidRDefault="00F51BBA" w:rsidP="00283705">
                  <w:pPr>
                    <w:pStyle w:val="NoSpacing"/>
                    <w:jc w:val="center"/>
                  </w:pPr>
                  <w:r>
                    <w:t>Baseline above MPL</w:t>
                  </w:r>
                </w:p>
              </w:tc>
              <w:tc>
                <w:tcPr>
                  <w:tcW w:w="1846" w:type="dxa"/>
                </w:tcPr>
                <w:p w14:paraId="30D7B835" w14:textId="0E574CBA" w:rsidR="00F51BBA" w:rsidRPr="00791AAE" w:rsidRDefault="00BD6219" w:rsidP="00BD6219">
                  <w:pPr>
                    <w:pStyle w:val="NoSpacing"/>
                    <w:jc w:val="center"/>
                  </w:pPr>
                  <w:r>
                    <w:t>B</w:t>
                  </w:r>
                  <w:r w:rsidRPr="00BD6219">
                    <w:t xml:space="preserve">aseline - 10%*(HPL - </w:t>
                  </w:r>
                  <w:r>
                    <w:t>B</w:t>
                  </w:r>
                  <w:r w:rsidRPr="00BD6219">
                    <w:t>aseline)</w:t>
                  </w:r>
                </w:p>
              </w:tc>
              <w:tc>
                <w:tcPr>
                  <w:tcW w:w="1846" w:type="dxa"/>
                </w:tcPr>
                <w:p w14:paraId="5EC28858" w14:textId="767D9BE2" w:rsidR="00F51BBA" w:rsidRPr="00791AAE" w:rsidRDefault="00F51BBA" w:rsidP="00BD6219">
                  <w:pPr>
                    <w:pStyle w:val="NoSpacing"/>
                    <w:jc w:val="center"/>
                  </w:pPr>
                  <w:r>
                    <w:t>B</w:t>
                  </w:r>
                  <w:r w:rsidRPr="00155143">
                    <w:t xml:space="preserve">aseline </w:t>
                  </w:r>
                  <w:r w:rsidR="00BD6219">
                    <w:t>-</w:t>
                  </w:r>
                  <w:r w:rsidRPr="00155143">
                    <w:t xml:space="preserve"> 20%*(HPL - </w:t>
                  </w:r>
                  <w:r>
                    <w:t>B</w:t>
                  </w:r>
                  <w:r w:rsidRPr="00155143">
                    <w:t>aseline)</w:t>
                  </w:r>
                </w:p>
              </w:tc>
            </w:tr>
          </w:tbl>
          <w:p w14:paraId="780D73C6" w14:textId="7B42AC07" w:rsidR="00F51BBA" w:rsidRDefault="00F51BBA" w:rsidP="00C35769">
            <w:pPr>
              <w:pStyle w:val="NoSpacing"/>
            </w:pPr>
          </w:p>
        </w:tc>
      </w:tr>
      <w:tr w:rsidR="00F51BBA" w14:paraId="48E07E73" w14:textId="77777777" w:rsidTr="0071629B">
        <w:tc>
          <w:tcPr>
            <w:tcW w:w="2538" w:type="dxa"/>
          </w:tcPr>
          <w:p w14:paraId="3D8DC690" w14:textId="7C245027" w:rsidR="00F51BBA" w:rsidRDefault="00F51BBA" w:rsidP="00F51BBA">
            <w:pPr>
              <w:pStyle w:val="NoSpacing"/>
              <w:tabs>
                <w:tab w:val="right" w:pos="2322"/>
              </w:tabs>
              <w:rPr>
                <w:b/>
              </w:rPr>
            </w:pPr>
            <w:r>
              <w:rPr>
                <w:b/>
              </w:rPr>
              <w:t>Benchmark Description</w:t>
            </w:r>
          </w:p>
        </w:tc>
        <w:tc>
          <w:tcPr>
            <w:tcW w:w="7038" w:type="dxa"/>
          </w:tcPr>
          <w:tbl>
            <w:tblPr>
              <w:tblStyle w:val="TableGrid"/>
              <w:tblW w:w="6637" w:type="dxa"/>
              <w:tblLook w:val="04A0" w:firstRow="1" w:lastRow="0" w:firstColumn="1" w:lastColumn="0" w:noHBand="0" w:noVBand="1"/>
            </w:tblPr>
            <w:tblGrid>
              <w:gridCol w:w="3397"/>
              <w:gridCol w:w="3230"/>
              <w:gridCol w:w="10"/>
            </w:tblGrid>
            <w:tr w:rsidR="00F51BBA" w14:paraId="33F55D80" w14:textId="77777777" w:rsidTr="00283705">
              <w:trPr>
                <w:gridAfter w:val="1"/>
                <w:wAfter w:w="10" w:type="dxa"/>
              </w:trPr>
              <w:tc>
                <w:tcPr>
                  <w:tcW w:w="6627" w:type="dxa"/>
                  <w:gridSpan w:val="2"/>
                </w:tcPr>
                <w:p w14:paraId="1823E42D" w14:textId="1DEC5FC3" w:rsidR="004D320F" w:rsidRPr="00791AAE" w:rsidRDefault="00F51BBA" w:rsidP="004D320F">
                  <w:pPr>
                    <w:pStyle w:val="NoSpacing"/>
                    <w:jc w:val="center"/>
                  </w:pPr>
                  <w:r>
                    <w:t>NCQA Quality Compass</w:t>
                  </w:r>
                </w:p>
              </w:tc>
            </w:tr>
            <w:tr w:rsidR="00F51BBA" w14:paraId="7BA070CB" w14:textId="77777777" w:rsidTr="00283705">
              <w:tc>
                <w:tcPr>
                  <w:tcW w:w="3397" w:type="dxa"/>
                </w:tcPr>
                <w:p w14:paraId="6710D875" w14:textId="77777777" w:rsidR="00F51BBA" w:rsidRPr="00791AAE" w:rsidRDefault="00F51BBA" w:rsidP="00283705">
                  <w:pPr>
                    <w:pStyle w:val="NoSpacing"/>
                    <w:jc w:val="center"/>
                  </w:pPr>
                  <w:r w:rsidRPr="00791AAE">
                    <w:t>HPL (90</w:t>
                  </w:r>
                  <w:r w:rsidRPr="00537ED7">
                    <w:rPr>
                      <w:vertAlign w:val="superscript"/>
                    </w:rPr>
                    <w:t>th</w:t>
                  </w:r>
                  <w:r w:rsidRPr="00791AAE">
                    <w:t xml:space="preserve"> Percentile)</w:t>
                  </w:r>
                </w:p>
              </w:tc>
              <w:tc>
                <w:tcPr>
                  <w:tcW w:w="3240" w:type="dxa"/>
                  <w:gridSpan w:val="2"/>
                </w:tcPr>
                <w:p w14:paraId="0C4CDBFF" w14:textId="69AC4D2B" w:rsidR="00F51BBA" w:rsidRPr="00791AAE" w:rsidRDefault="00F51BBA" w:rsidP="00283705">
                  <w:pPr>
                    <w:pStyle w:val="NoSpacing"/>
                    <w:jc w:val="center"/>
                  </w:pPr>
                  <w:r w:rsidRPr="00F51BBA">
                    <w:t>28.95</w:t>
                  </w:r>
                  <w:r>
                    <w:t>%</w:t>
                  </w:r>
                </w:p>
              </w:tc>
            </w:tr>
            <w:tr w:rsidR="00F51BBA" w14:paraId="5FC15A87" w14:textId="77777777" w:rsidTr="00283705">
              <w:tc>
                <w:tcPr>
                  <w:tcW w:w="3397" w:type="dxa"/>
                </w:tcPr>
                <w:p w14:paraId="55140D90" w14:textId="77777777" w:rsidR="00F51BBA" w:rsidRPr="00791AAE" w:rsidRDefault="00F51BBA" w:rsidP="00283705">
                  <w:pPr>
                    <w:pStyle w:val="NoSpacing"/>
                    <w:jc w:val="center"/>
                  </w:pPr>
                  <w:r>
                    <w:t>MPL (25</w:t>
                  </w:r>
                  <w:r w:rsidRPr="00791AAE">
                    <w:rPr>
                      <w:vertAlign w:val="superscript"/>
                    </w:rPr>
                    <w:t>th</w:t>
                  </w:r>
                  <w:r w:rsidRPr="00791AAE">
                    <w:t xml:space="preserve"> Percentile)</w:t>
                  </w:r>
                  <w:r>
                    <w:t xml:space="preserve"> or 10</w:t>
                  </w:r>
                  <w:r w:rsidRPr="00283705">
                    <w:rPr>
                      <w:vertAlign w:val="superscript"/>
                    </w:rPr>
                    <w:t>th</w:t>
                  </w:r>
                  <w:r>
                    <w:t xml:space="preserve"> if applicable</w:t>
                  </w:r>
                </w:p>
              </w:tc>
              <w:tc>
                <w:tcPr>
                  <w:tcW w:w="3240" w:type="dxa"/>
                  <w:gridSpan w:val="2"/>
                </w:tcPr>
                <w:p w14:paraId="7D5923DA" w14:textId="4BDFA5CC" w:rsidR="00F51BBA" w:rsidRPr="00791AAE" w:rsidRDefault="00F51BBA" w:rsidP="00283705">
                  <w:pPr>
                    <w:pStyle w:val="NoSpacing"/>
                    <w:jc w:val="center"/>
                  </w:pPr>
                  <w:r w:rsidRPr="00F51BBA">
                    <w:t>50.7</w:t>
                  </w:r>
                  <w:r>
                    <w:t>0%</w:t>
                  </w:r>
                </w:p>
              </w:tc>
            </w:tr>
          </w:tbl>
          <w:p w14:paraId="030744A1" w14:textId="77777777" w:rsidR="00F51BBA" w:rsidRDefault="00F51BBA" w:rsidP="00283705">
            <w:pPr>
              <w:pStyle w:val="NoSpacing"/>
            </w:pPr>
          </w:p>
        </w:tc>
      </w:tr>
      <w:tr w:rsidR="00F51BBA" w14:paraId="780D73D0" w14:textId="77777777" w:rsidTr="0071629B">
        <w:tc>
          <w:tcPr>
            <w:tcW w:w="2538" w:type="dxa"/>
          </w:tcPr>
          <w:p w14:paraId="780D73C8" w14:textId="77777777" w:rsidR="00F51BBA" w:rsidRPr="00717546" w:rsidRDefault="00F51BBA" w:rsidP="00A374B8">
            <w:pPr>
              <w:pStyle w:val="NoSpacing"/>
              <w:rPr>
                <w:b/>
              </w:rPr>
            </w:pPr>
            <w:r>
              <w:rPr>
                <w:b/>
              </w:rPr>
              <w:t>DSRIP-specific modifications to Measure Steward’s specification</w:t>
            </w:r>
          </w:p>
        </w:tc>
        <w:tc>
          <w:tcPr>
            <w:tcW w:w="7038" w:type="dxa"/>
          </w:tcPr>
          <w:p w14:paraId="50BC766F" w14:textId="69186507" w:rsidR="00F51BBA" w:rsidRDefault="00F51BBA" w:rsidP="00BB2921">
            <w:pPr>
              <w:pStyle w:val="NoSpacing"/>
            </w:pPr>
            <w:r w:rsidRPr="00787D45">
              <w:t>The</w:t>
            </w:r>
            <w:r>
              <w:t xml:space="preserve"> Measure Steward’s specification has been modified as follows:</w:t>
            </w:r>
          </w:p>
          <w:p w14:paraId="780D73CC" w14:textId="77777777" w:rsidR="00F51BBA" w:rsidRDefault="00F51BBA" w:rsidP="009F78A7">
            <w:pPr>
              <w:pStyle w:val="NoSpacing"/>
              <w:numPr>
                <w:ilvl w:val="0"/>
                <w:numId w:val="9"/>
              </w:numPr>
            </w:pPr>
            <w:r w:rsidRPr="00C619EF">
              <w:t>Replac</w:t>
            </w:r>
            <w:r>
              <w:t>ed term "member" with "patient"</w:t>
            </w:r>
            <w:r w:rsidRPr="00C619EF">
              <w:t xml:space="preserve"> </w:t>
            </w:r>
          </w:p>
          <w:p w14:paraId="7B8A009F" w14:textId="2EC4EBA4" w:rsidR="00F51BBA" w:rsidRDefault="00F51BBA" w:rsidP="00822791">
            <w:pPr>
              <w:pStyle w:val="NoSpacing"/>
              <w:numPr>
                <w:ilvl w:val="0"/>
                <w:numId w:val="9"/>
              </w:numPr>
            </w:pPr>
            <w:r>
              <w:t xml:space="preserve">Supplemented denominator and numerator inclusion and exclusion criteria from </w:t>
            </w:r>
            <w:r w:rsidRPr="00822791">
              <w:t>National Committee for Quality Assurance</w:t>
            </w:r>
            <w:r>
              <w:t xml:space="preserve"> steward measure specifications</w:t>
            </w:r>
          </w:p>
          <w:p w14:paraId="6FA45DB2" w14:textId="77777777" w:rsidR="00F51BBA" w:rsidRDefault="00F51BBA" w:rsidP="00B14672">
            <w:pPr>
              <w:pStyle w:val="NoSpacing"/>
              <w:numPr>
                <w:ilvl w:val="0"/>
                <w:numId w:val="9"/>
              </w:numPr>
            </w:pPr>
            <w:r>
              <w:t xml:space="preserve">Changed </w:t>
            </w:r>
            <w:r w:rsidRPr="00B14672">
              <w:t>December 31 date to make agnostic to the calendar year.</w:t>
            </w:r>
          </w:p>
          <w:p w14:paraId="50266802" w14:textId="6B41F9D8" w:rsidR="00F51BBA" w:rsidRDefault="00F51BBA" w:rsidP="0036543F">
            <w:pPr>
              <w:pStyle w:val="NoSpacing"/>
              <w:numPr>
                <w:ilvl w:val="0"/>
                <w:numId w:val="9"/>
              </w:numPr>
            </w:pPr>
            <w:r>
              <w:t xml:space="preserve">Replaced enrollment requirement with requirement for at least one outpatient visit in prior 12 months.  </w:t>
            </w:r>
          </w:p>
          <w:p w14:paraId="587A5604" w14:textId="43AFF69B" w:rsidR="00F51BBA" w:rsidRDefault="00F51BBA" w:rsidP="0036543F">
            <w:pPr>
              <w:pStyle w:val="NoSpacing"/>
              <w:numPr>
                <w:ilvl w:val="0"/>
                <w:numId w:val="9"/>
              </w:numPr>
            </w:pPr>
            <w:r>
              <w:t>Changed “claim/encounter” data to “administrative/clinical” data to make appropriate for providers</w:t>
            </w:r>
          </w:p>
          <w:p w14:paraId="780D73CF" w14:textId="5D1AB5EC" w:rsidR="00F51BBA" w:rsidRDefault="00F51BBA" w:rsidP="00885AA5">
            <w:pPr>
              <w:pStyle w:val="NoSpacing"/>
              <w:numPr>
                <w:ilvl w:val="0"/>
                <w:numId w:val="9"/>
              </w:numPr>
            </w:pPr>
            <w:r w:rsidRPr="00D579A7">
              <w:t>Removed references to tables</w:t>
            </w:r>
            <w:r>
              <w:t xml:space="preserve"> not included in the document.</w:t>
            </w:r>
          </w:p>
        </w:tc>
      </w:tr>
      <w:tr w:rsidR="00F51BBA" w14:paraId="780D73D3" w14:textId="77777777" w:rsidTr="0071629B">
        <w:tc>
          <w:tcPr>
            <w:tcW w:w="2538" w:type="dxa"/>
          </w:tcPr>
          <w:p w14:paraId="780D73D1" w14:textId="48059698" w:rsidR="00F51BBA" w:rsidRPr="00717546" w:rsidRDefault="00F51BBA" w:rsidP="001D6BEA">
            <w:pPr>
              <w:pStyle w:val="NoSpacing"/>
              <w:rPr>
                <w:b/>
              </w:rPr>
            </w:pPr>
            <w:r w:rsidRPr="00717546">
              <w:rPr>
                <w:b/>
              </w:rPr>
              <w:t>Denominator</w:t>
            </w:r>
            <w:r>
              <w:rPr>
                <w:b/>
              </w:rPr>
              <w:t xml:space="preserve"> Description </w:t>
            </w:r>
          </w:p>
        </w:tc>
        <w:tc>
          <w:tcPr>
            <w:tcW w:w="7038" w:type="dxa"/>
          </w:tcPr>
          <w:p w14:paraId="780D73D2" w14:textId="28B3CF75" w:rsidR="00F51BBA" w:rsidRPr="009F7E66" w:rsidRDefault="00F51BBA" w:rsidP="001D6BEA">
            <w:pPr>
              <w:pStyle w:val="NoSpacing"/>
            </w:pPr>
            <w:r>
              <w:t>Patients</w:t>
            </w:r>
            <w:r w:rsidRPr="00252A96">
              <w:t xml:space="preserve"> 18-75 years of age by the end of the measurement year who had a diagnosis of diabetes (type 1 or type 2) during the measurement year or the year prior to the measurement year.</w:t>
            </w:r>
          </w:p>
        </w:tc>
      </w:tr>
      <w:tr w:rsidR="00F51BBA" w14:paraId="780D73D6" w14:textId="77777777" w:rsidTr="0071629B">
        <w:trPr>
          <w:trHeight w:val="728"/>
        </w:trPr>
        <w:tc>
          <w:tcPr>
            <w:tcW w:w="2538" w:type="dxa"/>
          </w:tcPr>
          <w:p w14:paraId="780D73D4" w14:textId="77777777" w:rsidR="00F51BBA" w:rsidRPr="00717546" w:rsidRDefault="00F51BBA" w:rsidP="00C01E6F">
            <w:pPr>
              <w:pStyle w:val="NoSpacing"/>
              <w:rPr>
                <w:b/>
              </w:rPr>
            </w:pPr>
            <w:r>
              <w:rPr>
                <w:b/>
              </w:rPr>
              <w:t>Denominator Inclusions</w:t>
            </w:r>
          </w:p>
        </w:tc>
        <w:tc>
          <w:tcPr>
            <w:tcW w:w="7038" w:type="dxa"/>
          </w:tcPr>
          <w:p w14:paraId="18721E44" w14:textId="152A71E8" w:rsidR="00F51BBA" w:rsidRDefault="00F51BBA" w:rsidP="00822791">
            <w:pPr>
              <w:pStyle w:val="NoSpacing"/>
            </w:pPr>
            <w:r>
              <w:t>Patients* 18 to 75 years of age as of month 12 of the measurement year with diabetes (type 1 and type 2)</w:t>
            </w:r>
          </w:p>
          <w:p w14:paraId="6CFFD69D" w14:textId="77777777" w:rsidR="00F51BBA" w:rsidRDefault="00F51BBA" w:rsidP="00822791">
            <w:pPr>
              <w:pStyle w:val="NoSpacing"/>
            </w:pPr>
          </w:p>
          <w:p w14:paraId="2DD942EB" w14:textId="6200B601" w:rsidR="00F51BBA" w:rsidRDefault="00F51BBA" w:rsidP="00822791">
            <w:pPr>
              <w:pStyle w:val="NoSpacing"/>
            </w:pPr>
            <w:r>
              <w:t xml:space="preserve">There are two ways to identify </w:t>
            </w:r>
            <w:r w:rsidRPr="00822791">
              <w:t>patients</w:t>
            </w:r>
            <w:r>
              <w:t xml:space="preserve"> with diabetes: by pharmacy data** and by administrative/c</w:t>
            </w:r>
            <w:r w:rsidRPr="0020248A">
              <w:t xml:space="preserve">linical </w:t>
            </w:r>
            <w:r>
              <w:t>data***. The organization must use both to identify the eligible population, but a patient only needs to be identified by one method to be included in the measure. P</w:t>
            </w:r>
            <w:r w:rsidRPr="00822791">
              <w:t>atients</w:t>
            </w:r>
            <w:r>
              <w:t xml:space="preserve"> may be identified as </w:t>
            </w:r>
            <w:r>
              <w:lastRenderedPageBreak/>
              <w:t>having diabetes during the measurement year or the year prior to the measurement year.</w:t>
            </w:r>
          </w:p>
          <w:p w14:paraId="02E8EAD8" w14:textId="77777777" w:rsidR="00F51BBA" w:rsidRDefault="00F51BBA" w:rsidP="00822791">
            <w:pPr>
              <w:pStyle w:val="NoSpacing"/>
            </w:pPr>
          </w:p>
          <w:p w14:paraId="3C862029" w14:textId="4E8E14FF" w:rsidR="00F51BBA" w:rsidRDefault="00F51BBA" w:rsidP="00822791">
            <w:pPr>
              <w:pStyle w:val="NoSpacing"/>
            </w:pPr>
            <w:r>
              <w:t>* P</w:t>
            </w:r>
            <w:r w:rsidRPr="00822791">
              <w:t>atients</w:t>
            </w:r>
            <w:r w:rsidRPr="00822791" w:rsidDel="00822791">
              <w:t xml:space="preserve"> </w:t>
            </w:r>
            <w:r>
              <w:t xml:space="preserve">must have </w:t>
            </w:r>
            <w:r w:rsidRPr="00D97258">
              <w:t>had at least one (1) outpatient encounter in the prior 12-month period</w:t>
            </w:r>
            <w:r>
              <w:t>.</w:t>
            </w:r>
          </w:p>
          <w:p w14:paraId="008C8783" w14:textId="77777777" w:rsidR="00F51BBA" w:rsidRDefault="00F51BBA" w:rsidP="00822791">
            <w:pPr>
              <w:pStyle w:val="NoSpacing"/>
            </w:pPr>
          </w:p>
          <w:p w14:paraId="29E038AD" w14:textId="77777777" w:rsidR="00F51BBA" w:rsidRDefault="00F51BBA" w:rsidP="00822791">
            <w:pPr>
              <w:pStyle w:val="NoSpacing"/>
            </w:pPr>
          </w:p>
          <w:p w14:paraId="19EB1E5A" w14:textId="08AA1DCF" w:rsidR="00F51BBA" w:rsidRDefault="00F51BBA" w:rsidP="00822791">
            <w:pPr>
              <w:pStyle w:val="NoSpacing"/>
            </w:pPr>
            <w:r>
              <w:t>**Pharmacy Data: P</w:t>
            </w:r>
            <w:r w:rsidRPr="00822791">
              <w:t>atients</w:t>
            </w:r>
            <w:r w:rsidRPr="00822791" w:rsidDel="00822791">
              <w:t xml:space="preserve"> </w:t>
            </w:r>
            <w:r>
              <w:t xml:space="preserve">who were dispensed insulin or oral </w:t>
            </w:r>
            <w:proofErr w:type="spellStart"/>
            <w:r>
              <w:t>hypoglycemics</w:t>
            </w:r>
            <w:proofErr w:type="spellEnd"/>
            <w:r>
              <w:t>/</w:t>
            </w:r>
            <w:proofErr w:type="spellStart"/>
            <w:r>
              <w:t>antihyperglycemics</w:t>
            </w:r>
            <w:proofErr w:type="spellEnd"/>
            <w:r>
              <w:t xml:space="preserve"> during the measurement year or the year prior to the measurement year on an ambulatory basis. </w:t>
            </w:r>
          </w:p>
          <w:p w14:paraId="6BF82830" w14:textId="77777777" w:rsidR="00F51BBA" w:rsidRDefault="00F51BBA" w:rsidP="00822791">
            <w:pPr>
              <w:pStyle w:val="NoSpacing"/>
            </w:pPr>
          </w:p>
          <w:p w14:paraId="780D73D5" w14:textId="4C182B4D" w:rsidR="00F51BBA" w:rsidRPr="0012650D" w:rsidRDefault="00F51BBA" w:rsidP="00D579A7">
            <w:pPr>
              <w:pStyle w:val="NoSpacing"/>
              <w:rPr>
                <w:b/>
              </w:rPr>
            </w:pPr>
            <w:r>
              <w:t xml:space="preserve">*** </w:t>
            </w:r>
            <w:r w:rsidRPr="0020248A">
              <w:t xml:space="preserve">Administrative/Clinical </w:t>
            </w:r>
            <w:r>
              <w:t>Data: P</w:t>
            </w:r>
            <w:r w:rsidRPr="00822791">
              <w:t>atients</w:t>
            </w:r>
            <w:r>
              <w:t xml:space="preserve"> who had two face-to-face encounters, in an outpatient setting or </w:t>
            </w:r>
            <w:proofErr w:type="spellStart"/>
            <w:r>
              <w:t>nonacute</w:t>
            </w:r>
            <w:proofErr w:type="spellEnd"/>
            <w:r>
              <w:t xml:space="preserve"> inpatient setting, on different dates of service, with a diagnosis of diabetes, or one face-to-face encounter in an acute inpatient or emergency department (ED) setting during the measurement year or year prior to the measurement year. The organization may count services that occur over both years. </w:t>
            </w:r>
          </w:p>
        </w:tc>
      </w:tr>
      <w:tr w:rsidR="00F51BBA" w14:paraId="780D73D9" w14:textId="77777777" w:rsidTr="0071629B">
        <w:trPr>
          <w:trHeight w:val="710"/>
        </w:trPr>
        <w:tc>
          <w:tcPr>
            <w:tcW w:w="2538" w:type="dxa"/>
          </w:tcPr>
          <w:p w14:paraId="780D73D7" w14:textId="77777777" w:rsidR="00F51BBA" w:rsidRPr="00717546" w:rsidRDefault="00F51BBA" w:rsidP="00C01E6F">
            <w:pPr>
              <w:pStyle w:val="NoSpacing"/>
              <w:rPr>
                <w:b/>
              </w:rPr>
            </w:pPr>
            <w:r>
              <w:rPr>
                <w:b/>
              </w:rPr>
              <w:lastRenderedPageBreak/>
              <w:t>Denominator Exclusions</w:t>
            </w:r>
          </w:p>
        </w:tc>
        <w:tc>
          <w:tcPr>
            <w:tcW w:w="7038" w:type="dxa"/>
          </w:tcPr>
          <w:p w14:paraId="780D73D8" w14:textId="09801CBA" w:rsidR="00F51BBA" w:rsidRPr="001D6BEA" w:rsidRDefault="002B6101" w:rsidP="00822791">
            <w:pPr>
              <w:pStyle w:val="NoSpacing"/>
            </w:pPr>
            <w:r>
              <w:t xml:space="preserve">Exclude patients with polycystic ovaries, gestational diabetes, and/or steroid induced diabetes </w:t>
            </w:r>
            <w:r w:rsidRPr="00D5353C">
              <w:rPr>
                <w:u w:val="single"/>
              </w:rPr>
              <w:t>WITHOUT</w:t>
            </w:r>
            <w:r>
              <w:t xml:space="preserve"> a diagnosis of Type I or Type II diabetes </w:t>
            </w:r>
            <w:r w:rsidRPr="00D5353C">
              <w:rPr>
                <w:u w:val="single"/>
              </w:rPr>
              <w:t>AND</w:t>
            </w:r>
            <w:r>
              <w:t xml:space="preserve"> a face-to-face encounter, in any setting, during the measurement year or the year prior to the measurement year. </w:t>
            </w:r>
          </w:p>
        </w:tc>
      </w:tr>
      <w:tr w:rsidR="00F51BBA" w14:paraId="780D73DF" w14:textId="77777777" w:rsidTr="0071629B">
        <w:tc>
          <w:tcPr>
            <w:tcW w:w="2538" w:type="dxa"/>
          </w:tcPr>
          <w:p w14:paraId="780D73DA" w14:textId="77777777" w:rsidR="00F51BBA" w:rsidRDefault="00F51BBA" w:rsidP="00AF103E">
            <w:pPr>
              <w:pStyle w:val="NoSpacing"/>
              <w:rPr>
                <w:b/>
              </w:rPr>
            </w:pPr>
            <w:r>
              <w:rPr>
                <w:b/>
              </w:rPr>
              <w:t>Denominator Size</w:t>
            </w:r>
          </w:p>
        </w:tc>
        <w:tc>
          <w:tcPr>
            <w:tcW w:w="7038" w:type="dxa"/>
          </w:tcPr>
          <w:p w14:paraId="780D73DB" w14:textId="77777777" w:rsidR="00F51BBA" w:rsidRDefault="00F51BBA" w:rsidP="00D63CD3">
            <w:pPr>
              <w:pStyle w:val="NoSpacing"/>
            </w:pPr>
            <w:r>
              <w:t>Providers</w:t>
            </w:r>
            <w:r w:rsidRPr="00D63CD3">
              <w:t xml:space="preserve"> must report a </w:t>
            </w:r>
            <w:r>
              <w:t>minimum of 30 cases per measure during a 12-month measurement period (15 cases for a 6-month measurement period)</w:t>
            </w:r>
          </w:p>
          <w:p w14:paraId="780D73DC" w14:textId="77777777" w:rsidR="00F51BBA" w:rsidRDefault="00F51BBA" w:rsidP="0032246B">
            <w:pPr>
              <w:pStyle w:val="NoSpacing"/>
              <w:numPr>
                <w:ilvl w:val="0"/>
                <w:numId w:val="8"/>
              </w:numPr>
            </w:pPr>
            <w:r>
              <w:t>For a measurement period (either 6 or 12 months) where the denominator size is less than or equal to 75, providers must report on all cases. No sampling is allowed.</w:t>
            </w:r>
          </w:p>
          <w:p w14:paraId="780D73DD" w14:textId="77777777" w:rsidR="00F51BBA" w:rsidRDefault="00F51BBA" w:rsidP="0032246B">
            <w:pPr>
              <w:pStyle w:val="NoSpacing"/>
              <w:numPr>
                <w:ilvl w:val="0"/>
                <w:numId w:val="8"/>
              </w:numPr>
            </w:pPr>
            <w:r>
              <w:t>For a measurement period (either 6 or 12 months) where the denominator size is less than or equal to 380 but greater than 75, providers must report on all cases (preferred, particularly for providers using an electronic health record) or a random sample of not less than 76 cases.</w:t>
            </w:r>
          </w:p>
          <w:p w14:paraId="780D73DE" w14:textId="77777777" w:rsidR="00F51BBA" w:rsidRPr="001D6BEA" w:rsidRDefault="00F51BBA" w:rsidP="00561D6D">
            <w:pPr>
              <w:pStyle w:val="NoSpacing"/>
              <w:numPr>
                <w:ilvl w:val="0"/>
                <w:numId w:val="8"/>
              </w:numPr>
            </w:pPr>
            <w:r>
              <w:t xml:space="preserve">For a measurement period (either 6 or 12-months) where the denominator size is greater than 380, providers must report on all cases (preferred, particularly for providers using an electronic health record) or a random sample of cases that is not less than 20% of all cases; however, providers may cap the total sample size at 300 cases. </w:t>
            </w:r>
          </w:p>
        </w:tc>
      </w:tr>
      <w:tr w:rsidR="00F51BBA" w14:paraId="780D73E2" w14:textId="77777777" w:rsidTr="0071629B">
        <w:tc>
          <w:tcPr>
            <w:tcW w:w="2538" w:type="dxa"/>
          </w:tcPr>
          <w:p w14:paraId="780D73E0" w14:textId="77777777" w:rsidR="00F51BBA" w:rsidRPr="00717546" w:rsidRDefault="00F51BBA" w:rsidP="00AF103E">
            <w:pPr>
              <w:pStyle w:val="NoSpacing"/>
              <w:rPr>
                <w:b/>
              </w:rPr>
            </w:pPr>
            <w:r>
              <w:rPr>
                <w:b/>
              </w:rPr>
              <w:t xml:space="preserve">Numerator Description </w:t>
            </w:r>
          </w:p>
        </w:tc>
        <w:tc>
          <w:tcPr>
            <w:tcW w:w="7038" w:type="dxa"/>
          </w:tcPr>
          <w:p w14:paraId="780D73E1" w14:textId="7981BE57" w:rsidR="00F51BBA" w:rsidRPr="009F7E66" w:rsidRDefault="00F51BBA" w:rsidP="00AF103E">
            <w:pPr>
              <w:pStyle w:val="NoSpacing"/>
            </w:pPr>
            <w:r>
              <w:t>Patients</w:t>
            </w:r>
            <w:r w:rsidRPr="00252A96">
              <w:t xml:space="preserve"> </w:t>
            </w:r>
            <w:proofErr w:type="gramStart"/>
            <w:r w:rsidRPr="00252A96">
              <w:t>whose</w:t>
            </w:r>
            <w:proofErr w:type="gramEnd"/>
            <w:r w:rsidRPr="00252A96">
              <w:t xml:space="preserve"> most recent HbA1c level is greater than 9.0% or is missing a result, or if an HbA1c test was not done during the measurement year.</w:t>
            </w:r>
          </w:p>
        </w:tc>
      </w:tr>
      <w:tr w:rsidR="00F51BBA" w14:paraId="780D73E5" w14:textId="77777777" w:rsidTr="0071629B">
        <w:tc>
          <w:tcPr>
            <w:tcW w:w="2538" w:type="dxa"/>
          </w:tcPr>
          <w:p w14:paraId="780D73E3" w14:textId="77777777" w:rsidR="00F51BBA" w:rsidRPr="00717546" w:rsidRDefault="00F51BBA" w:rsidP="00AF103E">
            <w:pPr>
              <w:pStyle w:val="NoSpacing"/>
              <w:rPr>
                <w:b/>
              </w:rPr>
            </w:pPr>
            <w:r>
              <w:rPr>
                <w:b/>
              </w:rPr>
              <w:t>Numerator Inclusions</w:t>
            </w:r>
          </w:p>
        </w:tc>
        <w:tc>
          <w:tcPr>
            <w:tcW w:w="7038" w:type="dxa"/>
          </w:tcPr>
          <w:p w14:paraId="3F406C94" w14:textId="44A7F819" w:rsidR="00F51BBA" w:rsidRDefault="00F51BBA" w:rsidP="00822791">
            <w:pPr>
              <w:pStyle w:val="NoSpacing"/>
            </w:pPr>
            <w:r>
              <w:t>Use codes to identify the most recent hemoglobin A1c (HbA1c) test during the measurement year. The patient is numerator compliant if the most recent automated HbA1c level is greater than 9.0% or is missing a result, or if an HbA1c test was not done during the measurement year.</w:t>
            </w:r>
          </w:p>
          <w:p w14:paraId="25923DC3" w14:textId="77777777" w:rsidR="00F51BBA" w:rsidRDefault="00F51BBA" w:rsidP="00822791">
            <w:pPr>
              <w:pStyle w:val="NoSpacing"/>
            </w:pPr>
          </w:p>
          <w:p w14:paraId="780D73E4" w14:textId="12DAB4DC" w:rsidR="00F51BBA" w:rsidRPr="0012650D" w:rsidRDefault="00F51BBA" w:rsidP="00822791">
            <w:pPr>
              <w:pStyle w:val="NoSpacing"/>
              <w:rPr>
                <w:b/>
              </w:rPr>
            </w:pPr>
            <w:r>
              <w:t xml:space="preserve">For this indicator, a lower rate indicates better performance (i.e., low rates </w:t>
            </w:r>
            <w:r>
              <w:lastRenderedPageBreak/>
              <w:t>of poor control indicate better care).</w:t>
            </w:r>
          </w:p>
        </w:tc>
      </w:tr>
      <w:tr w:rsidR="00F51BBA" w14:paraId="780D73E8" w14:textId="77777777" w:rsidTr="0071629B">
        <w:tc>
          <w:tcPr>
            <w:tcW w:w="2538" w:type="dxa"/>
          </w:tcPr>
          <w:p w14:paraId="780D73E6" w14:textId="77777777" w:rsidR="00F51BBA" w:rsidRPr="00717546" w:rsidRDefault="00F51BBA" w:rsidP="00AF103E">
            <w:pPr>
              <w:pStyle w:val="NoSpacing"/>
              <w:rPr>
                <w:b/>
              </w:rPr>
            </w:pPr>
            <w:r>
              <w:rPr>
                <w:b/>
              </w:rPr>
              <w:lastRenderedPageBreak/>
              <w:t>Numerator Exclusions</w:t>
            </w:r>
          </w:p>
        </w:tc>
        <w:tc>
          <w:tcPr>
            <w:tcW w:w="7038" w:type="dxa"/>
          </w:tcPr>
          <w:p w14:paraId="780D73E7" w14:textId="2513E752" w:rsidR="00F51BBA" w:rsidRPr="001D6BEA" w:rsidRDefault="00F51BBA" w:rsidP="00822791">
            <w:pPr>
              <w:pStyle w:val="NoSpacing"/>
            </w:pPr>
            <w:r w:rsidRPr="00822791">
              <w:t xml:space="preserve">The </w:t>
            </w:r>
            <w:r>
              <w:t xml:space="preserve">patient </w:t>
            </w:r>
            <w:r w:rsidRPr="00822791">
              <w:t>is not numerator compliant if the result for the most recent HbA1c test during the measurement year is less than or equal to 9.0%.</w:t>
            </w:r>
          </w:p>
        </w:tc>
      </w:tr>
      <w:tr w:rsidR="00F51BBA" w14:paraId="780D73EB" w14:textId="77777777" w:rsidTr="0071629B">
        <w:tc>
          <w:tcPr>
            <w:tcW w:w="2538" w:type="dxa"/>
          </w:tcPr>
          <w:p w14:paraId="780D73E9" w14:textId="77777777" w:rsidR="00F51BBA" w:rsidRPr="00717546" w:rsidRDefault="00F51BBA" w:rsidP="00A374B8">
            <w:pPr>
              <w:pStyle w:val="NoSpacing"/>
              <w:rPr>
                <w:b/>
              </w:rPr>
            </w:pPr>
            <w:r>
              <w:rPr>
                <w:b/>
              </w:rPr>
              <w:t>Setting</w:t>
            </w:r>
          </w:p>
        </w:tc>
        <w:tc>
          <w:tcPr>
            <w:tcW w:w="7038" w:type="dxa"/>
          </w:tcPr>
          <w:p w14:paraId="780D73EA" w14:textId="75E1D732" w:rsidR="00F51BBA" w:rsidRDefault="00F51BBA" w:rsidP="00CD7069">
            <w:pPr>
              <w:pStyle w:val="NoSpacing"/>
            </w:pPr>
            <w:r w:rsidRPr="00C35769">
              <w:t>Ambulatory</w:t>
            </w:r>
          </w:p>
        </w:tc>
      </w:tr>
      <w:tr w:rsidR="00F51BBA" w14:paraId="780D73EE" w14:textId="77777777" w:rsidTr="0071629B">
        <w:tc>
          <w:tcPr>
            <w:tcW w:w="2538" w:type="dxa"/>
          </w:tcPr>
          <w:p w14:paraId="780D73EC" w14:textId="77777777" w:rsidR="00F51BBA" w:rsidRDefault="00F51BBA" w:rsidP="00A374B8">
            <w:pPr>
              <w:pStyle w:val="NoSpacing"/>
              <w:rPr>
                <w:b/>
              </w:rPr>
            </w:pPr>
            <w:r>
              <w:rPr>
                <w:b/>
              </w:rPr>
              <w:t>Data Source</w:t>
            </w:r>
          </w:p>
        </w:tc>
        <w:tc>
          <w:tcPr>
            <w:tcW w:w="7038" w:type="dxa"/>
          </w:tcPr>
          <w:p w14:paraId="780D73ED" w14:textId="4666076C" w:rsidR="00F51BBA" w:rsidRPr="00252A96" w:rsidRDefault="00F51BBA" w:rsidP="00D97258">
            <w:pPr>
              <w:pStyle w:val="NoSpacing"/>
            </w:pPr>
            <w:r>
              <w:t>Administrative/Clinical data sources</w:t>
            </w:r>
          </w:p>
        </w:tc>
      </w:tr>
      <w:tr w:rsidR="00BD6219" w14:paraId="780D740D" w14:textId="77777777" w:rsidTr="0071629B">
        <w:tc>
          <w:tcPr>
            <w:tcW w:w="2538" w:type="dxa"/>
          </w:tcPr>
          <w:p w14:paraId="780D73EF" w14:textId="6B59129E" w:rsidR="00BD6219" w:rsidRPr="00717546" w:rsidRDefault="00BD6219" w:rsidP="00F05C01">
            <w:pPr>
              <w:pStyle w:val="NoSpacing"/>
              <w:rPr>
                <w:b/>
              </w:rPr>
            </w:pPr>
            <w:r>
              <w:rPr>
                <w:b/>
              </w:rPr>
              <w:t>Allowable Denominator Sub-sets</w:t>
            </w:r>
          </w:p>
        </w:tc>
        <w:tc>
          <w:tcPr>
            <w:tcW w:w="7038" w:type="dxa"/>
          </w:tcPr>
          <w:p w14:paraId="5B4D87D3" w14:textId="77777777" w:rsidR="00BD6219" w:rsidRDefault="00BD6219" w:rsidP="00283705">
            <w:pPr>
              <w:pStyle w:val="NoSpacing"/>
            </w:pPr>
            <w:r>
              <w:t>All denominator subsets are permissible for this outcome</w:t>
            </w:r>
          </w:p>
          <w:p w14:paraId="780D740C" w14:textId="27D0EC7E" w:rsidR="00BD6219" w:rsidRDefault="00BD6219" w:rsidP="007F7C07">
            <w:pPr>
              <w:pStyle w:val="NoSpacing"/>
            </w:pPr>
            <w:r>
              <w:t> </w:t>
            </w:r>
          </w:p>
        </w:tc>
      </w:tr>
    </w:tbl>
    <w:p w14:paraId="780D745C" w14:textId="77777777" w:rsidR="00356CF4" w:rsidRPr="008F249E" w:rsidRDefault="00356CF4" w:rsidP="007C7C85">
      <w:pPr>
        <w:pStyle w:val="Heading2"/>
      </w:pPr>
    </w:p>
    <w:sectPr w:rsidR="00356CF4" w:rsidRPr="008F249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70D50" w14:textId="77777777" w:rsidR="00AA0CA2" w:rsidRDefault="00AA0CA2" w:rsidP="00F63191">
      <w:pPr>
        <w:spacing w:after="0" w:line="240" w:lineRule="auto"/>
      </w:pPr>
      <w:r>
        <w:separator/>
      </w:r>
    </w:p>
  </w:endnote>
  <w:endnote w:type="continuationSeparator" w:id="0">
    <w:p w14:paraId="6874F4CE" w14:textId="77777777" w:rsidR="00AA0CA2" w:rsidRDefault="00AA0CA2"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DD7FF" w14:textId="77777777" w:rsidR="00AC3E22" w:rsidRDefault="00AC3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5D49C" w14:textId="439554D5" w:rsidR="009D5C32" w:rsidRDefault="009D5C32">
    <w:pPr>
      <w:pStyle w:val="Footer"/>
    </w:pPr>
    <w:r>
      <w:t>9/</w:t>
    </w:r>
    <w:r w:rsidR="00AC3E22">
      <w:t>23</w:t>
    </w:r>
    <w:bookmarkStart w:id="0" w:name="_GoBack"/>
    <w:bookmarkEnd w:id="0"/>
    <w:r>
      <w:t>/14</w:t>
    </w:r>
  </w:p>
  <w:p w14:paraId="780D7463" w14:textId="77777777" w:rsidR="002E14AF" w:rsidRDefault="002E14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26ACE" w14:textId="77777777" w:rsidR="00AC3E22" w:rsidRDefault="00AC3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07430" w14:textId="77777777" w:rsidR="00AA0CA2" w:rsidRDefault="00AA0CA2" w:rsidP="00F63191">
      <w:pPr>
        <w:spacing w:after="0" w:line="240" w:lineRule="auto"/>
      </w:pPr>
      <w:r>
        <w:separator/>
      </w:r>
    </w:p>
  </w:footnote>
  <w:footnote w:type="continuationSeparator" w:id="0">
    <w:p w14:paraId="0004FE95" w14:textId="77777777" w:rsidR="00AA0CA2" w:rsidRDefault="00AA0CA2"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FBBB0" w14:textId="77777777" w:rsidR="00AC3E22" w:rsidRDefault="00AC3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7461" w14:textId="7A798CAA" w:rsidR="008F0411" w:rsidRDefault="008F0411" w:rsidP="008F041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55CA1" w14:textId="77777777" w:rsidR="00AC3E22" w:rsidRDefault="00AC3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2"/>
  </w:num>
  <w:num w:numId="6">
    <w:abstractNumId w:val="5"/>
  </w:num>
  <w:num w:numId="7">
    <w:abstractNumId w:val="10"/>
  </w:num>
  <w:num w:numId="8">
    <w:abstractNumId w:val="6"/>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A2D99"/>
    <w:rsid w:val="000C575F"/>
    <w:rsid w:val="000D1199"/>
    <w:rsid w:val="000D5A2D"/>
    <w:rsid w:val="000E7EED"/>
    <w:rsid w:val="00100A2F"/>
    <w:rsid w:val="00107C1A"/>
    <w:rsid w:val="00116208"/>
    <w:rsid w:val="0011709A"/>
    <w:rsid w:val="00136085"/>
    <w:rsid w:val="00165D76"/>
    <w:rsid w:val="001D6BEA"/>
    <w:rsid w:val="0020248A"/>
    <w:rsid w:val="002224F0"/>
    <w:rsid w:val="00245754"/>
    <w:rsid w:val="00252A96"/>
    <w:rsid w:val="00263537"/>
    <w:rsid w:val="00271E53"/>
    <w:rsid w:val="002845C2"/>
    <w:rsid w:val="002B6101"/>
    <w:rsid w:val="002D4DE5"/>
    <w:rsid w:val="002E14AF"/>
    <w:rsid w:val="0032246B"/>
    <w:rsid w:val="003268B7"/>
    <w:rsid w:val="00346B8D"/>
    <w:rsid w:val="00356CF4"/>
    <w:rsid w:val="0036543F"/>
    <w:rsid w:val="00366D0B"/>
    <w:rsid w:val="00375652"/>
    <w:rsid w:val="00383516"/>
    <w:rsid w:val="003844DB"/>
    <w:rsid w:val="003A409E"/>
    <w:rsid w:val="003F4E8D"/>
    <w:rsid w:val="00416E44"/>
    <w:rsid w:val="004D320F"/>
    <w:rsid w:val="004E7F26"/>
    <w:rsid w:val="00502BE4"/>
    <w:rsid w:val="00506BC5"/>
    <w:rsid w:val="00536799"/>
    <w:rsid w:val="00561D6D"/>
    <w:rsid w:val="005802A0"/>
    <w:rsid w:val="005857E6"/>
    <w:rsid w:val="005B79DD"/>
    <w:rsid w:val="005C70A1"/>
    <w:rsid w:val="005F4D43"/>
    <w:rsid w:val="006058DF"/>
    <w:rsid w:val="006F57CC"/>
    <w:rsid w:val="0071629B"/>
    <w:rsid w:val="007164C7"/>
    <w:rsid w:val="00743628"/>
    <w:rsid w:val="00755EFD"/>
    <w:rsid w:val="00760D27"/>
    <w:rsid w:val="0078475F"/>
    <w:rsid w:val="00787D45"/>
    <w:rsid w:val="007C728B"/>
    <w:rsid w:val="007C7C85"/>
    <w:rsid w:val="007E0395"/>
    <w:rsid w:val="007F675B"/>
    <w:rsid w:val="007F7C07"/>
    <w:rsid w:val="00822791"/>
    <w:rsid w:val="00823868"/>
    <w:rsid w:val="00827557"/>
    <w:rsid w:val="008722BB"/>
    <w:rsid w:val="00874FAA"/>
    <w:rsid w:val="008779F5"/>
    <w:rsid w:val="00885AA5"/>
    <w:rsid w:val="0088642E"/>
    <w:rsid w:val="00886E0E"/>
    <w:rsid w:val="008A5405"/>
    <w:rsid w:val="008D1A8E"/>
    <w:rsid w:val="008F0411"/>
    <w:rsid w:val="008F249E"/>
    <w:rsid w:val="008F457A"/>
    <w:rsid w:val="00904758"/>
    <w:rsid w:val="00965A2A"/>
    <w:rsid w:val="00967948"/>
    <w:rsid w:val="00994A41"/>
    <w:rsid w:val="00996DD5"/>
    <w:rsid w:val="009A7508"/>
    <w:rsid w:val="009C6EA3"/>
    <w:rsid w:val="009D5C32"/>
    <w:rsid w:val="009F04D0"/>
    <w:rsid w:val="009F78A7"/>
    <w:rsid w:val="009F7E66"/>
    <w:rsid w:val="00A11BD9"/>
    <w:rsid w:val="00A279ED"/>
    <w:rsid w:val="00A35A4A"/>
    <w:rsid w:val="00A42CCB"/>
    <w:rsid w:val="00A82574"/>
    <w:rsid w:val="00AA0CA2"/>
    <w:rsid w:val="00AC3A97"/>
    <w:rsid w:val="00AC3E22"/>
    <w:rsid w:val="00AD706B"/>
    <w:rsid w:val="00AF3A3D"/>
    <w:rsid w:val="00B05CBF"/>
    <w:rsid w:val="00B14672"/>
    <w:rsid w:val="00B20462"/>
    <w:rsid w:val="00B546CF"/>
    <w:rsid w:val="00B65D92"/>
    <w:rsid w:val="00B7257A"/>
    <w:rsid w:val="00BA61F1"/>
    <w:rsid w:val="00BB2921"/>
    <w:rsid w:val="00BC4643"/>
    <w:rsid w:val="00BD6219"/>
    <w:rsid w:val="00C01E6F"/>
    <w:rsid w:val="00C35769"/>
    <w:rsid w:val="00C36D72"/>
    <w:rsid w:val="00C86C48"/>
    <w:rsid w:val="00C9758A"/>
    <w:rsid w:val="00CA2D3E"/>
    <w:rsid w:val="00CA4C08"/>
    <w:rsid w:val="00CC28BC"/>
    <w:rsid w:val="00CD7069"/>
    <w:rsid w:val="00CE73EE"/>
    <w:rsid w:val="00D1777E"/>
    <w:rsid w:val="00D5353C"/>
    <w:rsid w:val="00D579A7"/>
    <w:rsid w:val="00D63CD3"/>
    <w:rsid w:val="00D97258"/>
    <w:rsid w:val="00DB7651"/>
    <w:rsid w:val="00DE660A"/>
    <w:rsid w:val="00E14888"/>
    <w:rsid w:val="00E1692C"/>
    <w:rsid w:val="00E43145"/>
    <w:rsid w:val="00EB6678"/>
    <w:rsid w:val="00EE0A5E"/>
    <w:rsid w:val="00EF0A65"/>
    <w:rsid w:val="00EF333D"/>
    <w:rsid w:val="00F05C01"/>
    <w:rsid w:val="00F069C3"/>
    <w:rsid w:val="00F06C5E"/>
    <w:rsid w:val="00F20443"/>
    <w:rsid w:val="00F51BBA"/>
    <w:rsid w:val="00F63191"/>
    <w:rsid w:val="00F64CD1"/>
    <w:rsid w:val="00F927B0"/>
    <w:rsid w:val="00FF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0D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CE73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CE73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7916">
      <w:bodyDiv w:val="1"/>
      <w:marLeft w:val="0"/>
      <w:marRight w:val="0"/>
      <w:marTop w:val="0"/>
      <w:marBottom w:val="0"/>
      <w:divBdr>
        <w:top w:val="none" w:sz="0" w:space="0" w:color="auto"/>
        <w:left w:val="none" w:sz="0" w:space="0" w:color="auto"/>
        <w:bottom w:val="none" w:sz="0" w:space="0" w:color="auto"/>
        <w:right w:val="none" w:sz="0" w:space="0" w:color="auto"/>
      </w:divBdr>
    </w:div>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169688369">
      <w:bodyDiv w:val="1"/>
      <w:marLeft w:val="0"/>
      <w:marRight w:val="0"/>
      <w:marTop w:val="0"/>
      <w:marBottom w:val="0"/>
      <w:divBdr>
        <w:top w:val="none" w:sz="0" w:space="0" w:color="auto"/>
        <w:left w:val="none" w:sz="0" w:space="0" w:color="auto"/>
        <w:bottom w:val="none" w:sz="0" w:space="0" w:color="auto"/>
        <w:right w:val="none" w:sz="0" w:space="0" w:color="auto"/>
      </w:divBdr>
    </w:div>
    <w:div w:id="379524770">
      <w:bodyDiv w:val="1"/>
      <w:marLeft w:val="0"/>
      <w:marRight w:val="0"/>
      <w:marTop w:val="0"/>
      <w:marBottom w:val="0"/>
      <w:divBdr>
        <w:top w:val="none" w:sz="0" w:space="0" w:color="auto"/>
        <w:left w:val="none" w:sz="0" w:space="0" w:color="auto"/>
        <w:bottom w:val="none" w:sz="0" w:space="0" w:color="auto"/>
        <w:right w:val="none" w:sz="0" w:space="0" w:color="auto"/>
      </w:divBdr>
    </w:div>
    <w:div w:id="1046836028">
      <w:bodyDiv w:val="1"/>
      <w:marLeft w:val="0"/>
      <w:marRight w:val="0"/>
      <w:marTop w:val="0"/>
      <w:marBottom w:val="0"/>
      <w:divBdr>
        <w:top w:val="none" w:sz="0" w:space="0" w:color="auto"/>
        <w:left w:val="none" w:sz="0" w:space="0" w:color="auto"/>
        <w:bottom w:val="none" w:sz="0" w:space="0" w:color="auto"/>
        <w:right w:val="none" w:sz="0" w:space="0" w:color="auto"/>
      </w:divBdr>
    </w:div>
    <w:div w:id="191096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qualityforum.org/QPS/005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D97F-0731-4ECF-84A5-B404AD898F07}">
  <ds:schemaRefs>
    <ds:schemaRef ds:uri="http://schemas.microsoft.com/sharepoint/v3/contenttype/forms"/>
  </ds:schemaRefs>
</ds:datastoreItem>
</file>

<file path=customXml/itemProps2.xml><?xml version="1.0" encoding="utf-8"?>
<ds:datastoreItem xmlns:ds="http://schemas.openxmlformats.org/officeDocument/2006/customXml" ds:itemID="{9308BC5E-6DF3-471D-956D-A5DFD88A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A9A798-272A-4EC7-85BB-DFB1824B2600}">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8B0085C-29C5-419B-B6B4-8555D8FC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Windows User</cp:lastModifiedBy>
  <cp:revision>2</cp:revision>
  <dcterms:created xsi:type="dcterms:W3CDTF">2014-09-23T21:23:00Z</dcterms:created>
  <dcterms:modified xsi:type="dcterms:W3CDTF">2014-09-23T21:23:00Z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